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Look w:val="04A0" w:firstRow="1" w:lastRow="0" w:firstColumn="1" w:lastColumn="0" w:noHBand="0" w:noVBand="1"/>
      </w:tblPr>
      <w:tblGrid>
        <w:gridCol w:w="3000"/>
        <w:gridCol w:w="3559"/>
        <w:gridCol w:w="2796"/>
      </w:tblGrid>
      <w:tr w:rsidR="00B545FD" w:rsidRPr="00687131" w14:paraId="2E60B030" w14:textId="77777777" w:rsidTr="005C0AD4">
        <w:trPr>
          <w:jc w:val="center"/>
        </w:trPr>
        <w:tc>
          <w:tcPr>
            <w:tcW w:w="1985" w:type="dxa"/>
            <w:vAlign w:val="center"/>
          </w:tcPr>
          <w:p w14:paraId="6023E14F" w14:textId="55E72BAA" w:rsidR="00B545FD" w:rsidRPr="00687131" w:rsidRDefault="005C0AD4" w:rsidP="005C0AD4">
            <w:pPr>
              <w:jc w:val="center"/>
              <w:rPr>
                <w:b/>
                <w:sz w:val="28"/>
                <w:szCs w:val="28"/>
              </w:rPr>
            </w:pPr>
            <w:r>
              <w:rPr>
                <w:b/>
                <w:noProof/>
                <w:sz w:val="28"/>
                <w:szCs w:val="28"/>
              </w:rPr>
              <w:drawing>
                <wp:inline distT="0" distB="0" distL="0" distR="0" wp14:anchorId="0C751B02" wp14:editId="732E650A">
                  <wp:extent cx="1767840" cy="10801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a:ext>
                            </a:extLst>
                          </a:blip>
                          <a:srcRect/>
                          <a:stretch>
                            <a:fillRect/>
                          </a:stretch>
                        </pic:blipFill>
                        <pic:spPr bwMode="auto">
                          <a:xfrm>
                            <a:off x="0" y="0"/>
                            <a:ext cx="1767840" cy="1080135"/>
                          </a:xfrm>
                          <a:prstGeom prst="rect">
                            <a:avLst/>
                          </a:prstGeom>
                          <a:noFill/>
                          <a:ln>
                            <a:noFill/>
                          </a:ln>
                        </pic:spPr>
                      </pic:pic>
                    </a:graphicData>
                  </a:graphic>
                </wp:inline>
              </w:drawing>
            </w:r>
          </w:p>
        </w:tc>
        <w:tc>
          <w:tcPr>
            <w:tcW w:w="4819" w:type="dxa"/>
            <w:vAlign w:val="center"/>
          </w:tcPr>
          <w:p w14:paraId="5B8779E6" w14:textId="77777777" w:rsidR="00B545FD" w:rsidRPr="00687131" w:rsidRDefault="00B545FD" w:rsidP="00035316">
            <w:pPr>
              <w:rPr>
                <w:b/>
                <w:sz w:val="28"/>
                <w:szCs w:val="28"/>
              </w:rPr>
            </w:pPr>
          </w:p>
        </w:tc>
        <w:tc>
          <w:tcPr>
            <w:tcW w:w="2357" w:type="dxa"/>
            <w:vAlign w:val="center"/>
          </w:tcPr>
          <w:p w14:paraId="775C6376" w14:textId="2212DF3D" w:rsidR="00B545FD" w:rsidRPr="00687131" w:rsidRDefault="005C0AD4" w:rsidP="00035316">
            <w:pPr>
              <w:rPr>
                <w:b/>
                <w:sz w:val="28"/>
                <w:szCs w:val="28"/>
              </w:rPr>
            </w:pPr>
            <w:r w:rsidRPr="00687131">
              <w:rPr>
                <w:b/>
                <w:noProof/>
                <w:sz w:val="28"/>
                <w:szCs w:val="28"/>
                <w:lang w:val="en-US"/>
              </w:rPr>
              <w:drawing>
                <wp:inline distT="0" distB="0" distL="0" distR="0" wp14:anchorId="4B82FCB6" wp14:editId="126113EB">
                  <wp:extent cx="1636364" cy="1080000"/>
                  <wp:effectExtent l="0" t="0" r="2540" b="6350"/>
                  <wp:docPr id="2" name="Picture 2">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hlinkClick r:id="rId9"/>
                          </pic:cNvPr>
                          <pic:cNvPicPr>
                            <a:picLocks noChangeAspect="1" noChangeArrowheads="1"/>
                          </pic:cNvPicPr>
                        </pic:nvPicPr>
                        <pic:blipFill>
                          <a:blip r:embed="rId10" cstate="print">
                            <a:extLst>
                              <a:ext uri="{28A0092B-C50C-407E-A947-70E740481C1C}">
                                <a14:useLocalDpi xmlns:a14="http://schemas.microsoft.com/office/drawing/2010/main"/>
                              </a:ext>
                            </a:extLst>
                          </a:blip>
                          <a:stretch>
                            <a:fillRect/>
                          </a:stretch>
                        </pic:blipFill>
                        <pic:spPr bwMode="auto">
                          <a:xfrm>
                            <a:off x="0" y="0"/>
                            <a:ext cx="1636364" cy="1080000"/>
                          </a:xfrm>
                          <a:prstGeom prst="rect">
                            <a:avLst/>
                          </a:prstGeom>
                          <a:noFill/>
                          <a:ln>
                            <a:noFill/>
                          </a:ln>
                        </pic:spPr>
                      </pic:pic>
                    </a:graphicData>
                  </a:graphic>
                </wp:inline>
              </w:drawing>
            </w:r>
          </w:p>
        </w:tc>
      </w:tr>
    </w:tbl>
    <w:p w14:paraId="4E53E0E7" w14:textId="77777777" w:rsidR="00B545FD" w:rsidRDefault="00B545FD" w:rsidP="00B545FD">
      <w:pPr>
        <w:rPr>
          <w:b/>
          <w:sz w:val="28"/>
          <w:szCs w:val="28"/>
        </w:rPr>
      </w:pPr>
    </w:p>
    <w:p w14:paraId="02E7D1FE" w14:textId="77777777" w:rsidR="00B545FD" w:rsidRDefault="00B545FD" w:rsidP="00B545FD">
      <w:pPr>
        <w:rPr>
          <w:b/>
          <w:sz w:val="28"/>
          <w:szCs w:val="28"/>
        </w:rPr>
      </w:pPr>
    </w:p>
    <w:p w14:paraId="126FA91C" w14:textId="77777777" w:rsidR="00B545FD" w:rsidRDefault="00B545FD" w:rsidP="00B545FD">
      <w:pPr>
        <w:rPr>
          <w:b/>
          <w:sz w:val="28"/>
          <w:szCs w:val="28"/>
        </w:rPr>
      </w:pPr>
    </w:p>
    <w:p w14:paraId="60B7549D" w14:textId="77777777" w:rsidR="00B545FD" w:rsidRPr="00D055CC" w:rsidRDefault="00B545FD" w:rsidP="00B545FD">
      <w:pPr>
        <w:jc w:val="center"/>
        <w:rPr>
          <w:rFonts w:cs="Times New Roman"/>
          <w:b/>
          <w:sz w:val="32"/>
          <w:szCs w:val="32"/>
        </w:rPr>
      </w:pPr>
      <w:r w:rsidRPr="00D055CC">
        <w:rPr>
          <w:rFonts w:cs="Times New Roman"/>
          <w:b/>
          <w:sz w:val="32"/>
          <w:szCs w:val="32"/>
        </w:rPr>
        <w:t>International Union of Geological Sciences</w:t>
      </w:r>
    </w:p>
    <w:p w14:paraId="7435F9C7" w14:textId="77777777" w:rsidR="00B545FD" w:rsidRPr="00D055CC" w:rsidRDefault="00B545FD" w:rsidP="00B545FD">
      <w:pPr>
        <w:jc w:val="center"/>
        <w:rPr>
          <w:rFonts w:cs="Times New Roman"/>
          <w:b/>
          <w:sz w:val="32"/>
          <w:szCs w:val="32"/>
        </w:rPr>
      </w:pPr>
      <w:r w:rsidRPr="00D055CC">
        <w:rPr>
          <w:rFonts w:cs="Times New Roman"/>
          <w:b/>
          <w:sz w:val="32"/>
          <w:szCs w:val="32"/>
        </w:rPr>
        <w:t>Manual of Standard Methods</w:t>
      </w:r>
    </w:p>
    <w:p w14:paraId="55BC32F7" w14:textId="77777777" w:rsidR="00B545FD" w:rsidRPr="00D055CC" w:rsidRDefault="00B545FD" w:rsidP="00B545FD">
      <w:pPr>
        <w:jc w:val="center"/>
        <w:rPr>
          <w:rFonts w:cs="Times New Roman"/>
          <w:b/>
          <w:sz w:val="32"/>
          <w:szCs w:val="32"/>
        </w:rPr>
      </w:pPr>
      <w:r w:rsidRPr="00D055CC">
        <w:rPr>
          <w:rFonts w:cs="Times New Roman"/>
          <w:b/>
          <w:sz w:val="32"/>
          <w:szCs w:val="32"/>
        </w:rPr>
        <w:t>for</w:t>
      </w:r>
    </w:p>
    <w:p w14:paraId="2FFC0852" w14:textId="77777777" w:rsidR="00B545FD" w:rsidRPr="00D055CC" w:rsidRDefault="00B545FD" w:rsidP="00B545FD">
      <w:pPr>
        <w:jc w:val="center"/>
        <w:rPr>
          <w:rFonts w:cs="Times New Roman"/>
          <w:b/>
          <w:sz w:val="32"/>
          <w:szCs w:val="32"/>
        </w:rPr>
      </w:pPr>
      <w:r w:rsidRPr="00D055CC">
        <w:rPr>
          <w:rFonts w:cs="Times New Roman"/>
          <w:b/>
          <w:sz w:val="32"/>
          <w:szCs w:val="32"/>
        </w:rPr>
        <w:t>Establishing the Global Geochemical Reference Network</w:t>
      </w:r>
    </w:p>
    <w:p w14:paraId="72D7FC6A" w14:textId="77777777" w:rsidR="00B545FD" w:rsidRPr="00D055CC" w:rsidRDefault="00B545FD" w:rsidP="00B545FD">
      <w:pPr>
        <w:rPr>
          <w:rFonts w:cs="Times New Roman"/>
          <w:b/>
          <w:sz w:val="28"/>
          <w:szCs w:val="28"/>
        </w:rPr>
      </w:pPr>
    </w:p>
    <w:p w14:paraId="62FB6B69" w14:textId="77777777" w:rsidR="00B545FD" w:rsidRDefault="00B545FD" w:rsidP="00B545FD">
      <w:pPr>
        <w:rPr>
          <w:rFonts w:cs="Times New Roman"/>
          <w:b/>
          <w:sz w:val="28"/>
          <w:szCs w:val="28"/>
        </w:rPr>
      </w:pPr>
    </w:p>
    <w:p w14:paraId="6254938D" w14:textId="77777777" w:rsidR="002F0F6A" w:rsidRDefault="002F0F6A" w:rsidP="00B545FD">
      <w:pPr>
        <w:rPr>
          <w:rFonts w:cs="Times New Roman"/>
          <w:b/>
          <w:sz w:val="28"/>
          <w:szCs w:val="28"/>
        </w:rPr>
      </w:pPr>
    </w:p>
    <w:p w14:paraId="61AD8474" w14:textId="77777777" w:rsidR="002F0F6A" w:rsidRDefault="002F0F6A" w:rsidP="00B545FD">
      <w:pPr>
        <w:rPr>
          <w:rFonts w:cs="Times New Roman"/>
          <w:b/>
          <w:sz w:val="28"/>
          <w:szCs w:val="28"/>
        </w:rPr>
      </w:pPr>
    </w:p>
    <w:p w14:paraId="58BF361F" w14:textId="77777777" w:rsidR="002F0F6A" w:rsidRDefault="002F0F6A" w:rsidP="00B545FD">
      <w:pPr>
        <w:rPr>
          <w:rFonts w:cs="Times New Roman"/>
          <w:b/>
          <w:sz w:val="28"/>
          <w:szCs w:val="28"/>
        </w:rPr>
      </w:pPr>
    </w:p>
    <w:p w14:paraId="3A8C3740" w14:textId="77777777" w:rsidR="002F0F6A" w:rsidRPr="00D055CC" w:rsidRDefault="002F0F6A" w:rsidP="00B545FD">
      <w:pPr>
        <w:rPr>
          <w:rFonts w:cs="Times New Roman"/>
          <w:b/>
          <w:sz w:val="28"/>
          <w:szCs w:val="28"/>
        </w:rPr>
      </w:pPr>
    </w:p>
    <w:p w14:paraId="303072FC" w14:textId="77777777" w:rsidR="00B545FD" w:rsidRPr="00D055CC" w:rsidRDefault="00B545FD" w:rsidP="00B545FD">
      <w:pPr>
        <w:jc w:val="center"/>
        <w:rPr>
          <w:rFonts w:cs="Times New Roman"/>
          <w:b/>
          <w:sz w:val="40"/>
          <w:szCs w:val="40"/>
        </w:rPr>
      </w:pPr>
      <w:r w:rsidRPr="00D055CC">
        <w:rPr>
          <w:rFonts w:cs="Times New Roman"/>
          <w:b/>
          <w:sz w:val="40"/>
          <w:szCs w:val="40"/>
        </w:rPr>
        <w:t xml:space="preserve">Chapter </w:t>
      </w:r>
      <w:r w:rsidR="000C1BC2">
        <w:rPr>
          <w:rFonts w:cs="Times New Roman"/>
          <w:b/>
          <w:sz w:val="40"/>
          <w:szCs w:val="40"/>
        </w:rPr>
        <w:t>5</w:t>
      </w:r>
    </w:p>
    <w:p w14:paraId="4DB7F421" w14:textId="77777777" w:rsidR="002F0F6A" w:rsidRDefault="002F0F6A" w:rsidP="00B545FD">
      <w:pPr>
        <w:jc w:val="center"/>
        <w:rPr>
          <w:rFonts w:cs="Times New Roman"/>
          <w:b/>
          <w:sz w:val="40"/>
          <w:szCs w:val="40"/>
        </w:rPr>
      </w:pPr>
    </w:p>
    <w:p w14:paraId="251D73E0" w14:textId="4F16ECB2" w:rsidR="004B0069" w:rsidRDefault="00B22F10" w:rsidP="00B545FD">
      <w:pPr>
        <w:jc w:val="center"/>
        <w:rPr>
          <w:rFonts w:cs="Times New Roman"/>
          <w:b/>
          <w:sz w:val="40"/>
          <w:szCs w:val="40"/>
        </w:rPr>
      </w:pPr>
      <w:bookmarkStart w:id="0" w:name="OLE_LINK1"/>
      <w:r>
        <w:rPr>
          <w:rFonts w:cs="Times New Roman"/>
          <w:b/>
          <w:sz w:val="40"/>
          <w:szCs w:val="40"/>
        </w:rPr>
        <w:t>D</w:t>
      </w:r>
      <w:r w:rsidR="006366B5">
        <w:rPr>
          <w:rFonts w:cs="Times New Roman"/>
          <w:b/>
          <w:sz w:val="40"/>
          <w:szCs w:val="40"/>
        </w:rPr>
        <w:t>evelopment</w:t>
      </w:r>
      <w:r>
        <w:rPr>
          <w:rFonts w:cs="Times New Roman"/>
          <w:b/>
          <w:sz w:val="40"/>
          <w:szCs w:val="40"/>
        </w:rPr>
        <w:t xml:space="preserve"> </w:t>
      </w:r>
      <w:r w:rsidR="006366B5">
        <w:rPr>
          <w:rFonts w:cs="Times New Roman"/>
          <w:b/>
          <w:sz w:val="40"/>
          <w:szCs w:val="40"/>
        </w:rPr>
        <w:t>of</w:t>
      </w:r>
      <w:r>
        <w:rPr>
          <w:rFonts w:cs="Times New Roman"/>
          <w:b/>
          <w:sz w:val="40"/>
          <w:szCs w:val="40"/>
        </w:rPr>
        <w:t xml:space="preserve"> R</w:t>
      </w:r>
      <w:r w:rsidR="006366B5">
        <w:rPr>
          <w:rFonts w:cs="Times New Roman"/>
          <w:b/>
          <w:sz w:val="40"/>
          <w:szCs w:val="40"/>
        </w:rPr>
        <w:t>eference</w:t>
      </w:r>
      <w:r>
        <w:rPr>
          <w:rFonts w:cs="Times New Roman"/>
          <w:b/>
          <w:sz w:val="40"/>
          <w:szCs w:val="40"/>
        </w:rPr>
        <w:t xml:space="preserve"> M</w:t>
      </w:r>
      <w:r w:rsidR="006366B5">
        <w:rPr>
          <w:rFonts w:cs="Times New Roman"/>
          <w:b/>
          <w:sz w:val="40"/>
          <w:szCs w:val="40"/>
        </w:rPr>
        <w:t>aterials for</w:t>
      </w:r>
    </w:p>
    <w:p w14:paraId="75F322B3" w14:textId="031E0743" w:rsidR="00B545FD" w:rsidRPr="00D055CC" w:rsidRDefault="00B22F10" w:rsidP="00B545FD">
      <w:pPr>
        <w:jc w:val="center"/>
        <w:rPr>
          <w:rFonts w:cs="Times New Roman"/>
          <w:b/>
          <w:sz w:val="40"/>
          <w:szCs w:val="40"/>
        </w:rPr>
      </w:pPr>
      <w:r>
        <w:rPr>
          <w:rFonts w:cs="Times New Roman"/>
          <w:b/>
          <w:sz w:val="40"/>
          <w:szCs w:val="40"/>
        </w:rPr>
        <w:t>E</w:t>
      </w:r>
      <w:r w:rsidR="006366B5">
        <w:rPr>
          <w:rFonts w:cs="Times New Roman"/>
          <w:b/>
          <w:sz w:val="40"/>
          <w:szCs w:val="40"/>
        </w:rPr>
        <w:t>xternal</w:t>
      </w:r>
      <w:r>
        <w:rPr>
          <w:rFonts w:cs="Times New Roman"/>
          <w:b/>
          <w:sz w:val="40"/>
          <w:szCs w:val="40"/>
        </w:rPr>
        <w:t xml:space="preserve"> Q</w:t>
      </w:r>
      <w:r w:rsidR="006366B5">
        <w:rPr>
          <w:rFonts w:cs="Times New Roman"/>
          <w:b/>
          <w:sz w:val="40"/>
          <w:szCs w:val="40"/>
        </w:rPr>
        <w:t>uality</w:t>
      </w:r>
      <w:r>
        <w:rPr>
          <w:rFonts w:cs="Times New Roman"/>
          <w:b/>
          <w:sz w:val="40"/>
          <w:szCs w:val="40"/>
        </w:rPr>
        <w:t xml:space="preserve"> C</w:t>
      </w:r>
      <w:r w:rsidR="006366B5">
        <w:rPr>
          <w:rFonts w:cs="Times New Roman"/>
          <w:b/>
          <w:sz w:val="40"/>
          <w:szCs w:val="40"/>
        </w:rPr>
        <w:t>ontrol</w:t>
      </w:r>
    </w:p>
    <w:bookmarkEnd w:id="0"/>
    <w:p w14:paraId="0B87346D" w14:textId="77777777" w:rsidR="00B545FD" w:rsidRPr="00F4380B" w:rsidRDefault="00B545FD" w:rsidP="00B545FD">
      <w:pPr>
        <w:pStyle w:val="CM1"/>
        <w:rPr>
          <w:bCs/>
        </w:rPr>
      </w:pPr>
    </w:p>
    <w:p w14:paraId="5CF2F5C3" w14:textId="77777777" w:rsidR="00B545FD" w:rsidRPr="00F4380B" w:rsidRDefault="00B545FD" w:rsidP="00B545FD">
      <w:pPr>
        <w:pStyle w:val="CM1"/>
        <w:rPr>
          <w:bCs/>
        </w:rPr>
      </w:pPr>
    </w:p>
    <w:p w14:paraId="6FCB3492" w14:textId="42976DBB" w:rsidR="00B545FD" w:rsidRDefault="005724B5" w:rsidP="005724B5">
      <w:pPr>
        <w:pStyle w:val="Default"/>
        <w:jc w:val="center"/>
        <w:rPr>
          <w:bCs/>
          <w:color w:val="auto"/>
        </w:rPr>
      </w:pPr>
      <w:proofErr w:type="spellStart"/>
      <w:r w:rsidRPr="005724B5">
        <w:rPr>
          <w:bCs/>
          <w:color w:val="auto"/>
        </w:rPr>
        <w:t>Pavol</w:t>
      </w:r>
      <w:proofErr w:type="spellEnd"/>
      <w:r w:rsidRPr="005724B5">
        <w:rPr>
          <w:bCs/>
          <w:color w:val="auto"/>
        </w:rPr>
        <w:t xml:space="preserve"> </w:t>
      </w:r>
      <w:proofErr w:type="spellStart"/>
      <w:r w:rsidRPr="005724B5">
        <w:rPr>
          <w:bCs/>
          <w:color w:val="auto"/>
        </w:rPr>
        <w:t>Lučivjanský</w:t>
      </w:r>
      <w:proofErr w:type="spellEnd"/>
      <w:r w:rsidR="00B71118">
        <w:rPr>
          <w:bCs/>
          <w:color w:val="auto"/>
        </w:rPr>
        <w:t xml:space="preserve">, </w:t>
      </w:r>
      <w:r w:rsidR="00CC455B" w:rsidRPr="005724B5">
        <w:rPr>
          <w:bCs/>
          <w:color w:val="auto"/>
        </w:rPr>
        <w:t xml:space="preserve">Daniela </w:t>
      </w:r>
      <w:proofErr w:type="spellStart"/>
      <w:r w:rsidR="00CC455B" w:rsidRPr="005724B5">
        <w:rPr>
          <w:bCs/>
          <w:color w:val="auto"/>
        </w:rPr>
        <w:t>Mackových</w:t>
      </w:r>
      <w:proofErr w:type="spellEnd"/>
    </w:p>
    <w:p w14:paraId="61ACB31B" w14:textId="77777777" w:rsidR="005724B5" w:rsidRPr="00F4380B" w:rsidRDefault="005724B5" w:rsidP="005724B5">
      <w:pPr>
        <w:pStyle w:val="Default"/>
        <w:jc w:val="center"/>
      </w:pPr>
    </w:p>
    <w:p w14:paraId="39600C91" w14:textId="77777777" w:rsidR="00B545FD" w:rsidRPr="00F4380B" w:rsidRDefault="005724B5" w:rsidP="005724B5">
      <w:pPr>
        <w:pStyle w:val="Default"/>
        <w:jc w:val="center"/>
        <w:rPr>
          <w:sz w:val="20"/>
          <w:szCs w:val="20"/>
        </w:rPr>
      </w:pPr>
      <w:r w:rsidRPr="005724B5">
        <w:rPr>
          <w:sz w:val="20"/>
          <w:szCs w:val="20"/>
        </w:rPr>
        <w:t>State Geological Institute of Dionyz Stur, Regional Centre, Spiska Nova Ves, Slovakia</w:t>
      </w:r>
    </w:p>
    <w:p w14:paraId="34CEF6E2" w14:textId="77777777" w:rsidR="00B545FD" w:rsidRPr="00F4380B" w:rsidRDefault="00B545FD" w:rsidP="00B545FD">
      <w:pPr>
        <w:pStyle w:val="Default"/>
      </w:pPr>
    </w:p>
    <w:p w14:paraId="02E21EA3" w14:textId="77777777" w:rsidR="00B545FD" w:rsidRPr="00F4380B" w:rsidRDefault="00B545FD" w:rsidP="00B545FD">
      <w:pPr>
        <w:pStyle w:val="Default"/>
      </w:pPr>
    </w:p>
    <w:p w14:paraId="37BE0139" w14:textId="77777777" w:rsidR="00B545FD" w:rsidRPr="00F4380B" w:rsidRDefault="00B545FD" w:rsidP="00B545FD">
      <w:pPr>
        <w:pStyle w:val="Default"/>
      </w:pPr>
    </w:p>
    <w:p w14:paraId="0F41AF6B" w14:textId="77777777" w:rsidR="00B545FD" w:rsidRDefault="00B545FD" w:rsidP="00B545FD">
      <w:pPr>
        <w:pStyle w:val="Default"/>
      </w:pPr>
    </w:p>
    <w:p w14:paraId="65F35FD4" w14:textId="77777777" w:rsidR="00B545FD" w:rsidRDefault="00B545FD" w:rsidP="00B545FD">
      <w:pPr>
        <w:pStyle w:val="Default"/>
      </w:pPr>
    </w:p>
    <w:p w14:paraId="44B03E8D" w14:textId="77777777" w:rsidR="00B545FD" w:rsidRDefault="00B545FD" w:rsidP="00B545FD">
      <w:pPr>
        <w:pStyle w:val="Default"/>
      </w:pPr>
    </w:p>
    <w:p w14:paraId="385C8EB3" w14:textId="77777777" w:rsidR="00B545FD" w:rsidRDefault="00B545FD" w:rsidP="00B545FD">
      <w:pPr>
        <w:pStyle w:val="Default"/>
      </w:pPr>
    </w:p>
    <w:p w14:paraId="51DB3CF2" w14:textId="77777777" w:rsidR="00B545FD" w:rsidRDefault="00B545FD" w:rsidP="00B545FD">
      <w:pPr>
        <w:pStyle w:val="Default"/>
      </w:pPr>
    </w:p>
    <w:p w14:paraId="62BDFA89" w14:textId="77777777" w:rsidR="00B545FD" w:rsidRDefault="00B545FD" w:rsidP="00B545FD">
      <w:pPr>
        <w:pStyle w:val="Default"/>
      </w:pPr>
    </w:p>
    <w:p w14:paraId="2D4145D1" w14:textId="77777777" w:rsidR="00B545FD" w:rsidRDefault="00B545FD" w:rsidP="00B545FD">
      <w:pPr>
        <w:pStyle w:val="Default"/>
      </w:pPr>
    </w:p>
    <w:p w14:paraId="3C2039EB" w14:textId="77777777" w:rsidR="00B545FD" w:rsidRDefault="00B545FD" w:rsidP="00B545FD">
      <w:pPr>
        <w:pStyle w:val="Default"/>
      </w:pPr>
    </w:p>
    <w:p w14:paraId="3B5AC1CA" w14:textId="77777777" w:rsidR="00B545FD" w:rsidRDefault="00B545FD" w:rsidP="00B545FD">
      <w:pPr>
        <w:pStyle w:val="Default"/>
      </w:pPr>
    </w:p>
    <w:p w14:paraId="23C93EEC" w14:textId="77777777" w:rsidR="00C33C35" w:rsidRDefault="00C33C35" w:rsidP="00B545FD">
      <w:pPr>
        <w:pStyle w:val="Default"/>
      </w:pPr>
    </w:p>
    <w:p w14:paraId="7A7FA3B8" w14:textId="4D31B56E" w:rsidR="00C33C35" w:rsidRPr="001D568F" w:rsidRDefault="00A311C2" w:rsidP="00A311C2">
      <w:pPr>
        <w:pStyle w:val="Default"/>
        <w:jc w:val="center"/>
        <w:rPr>
          <w:sz w:val="22"/>
          <w:szCs w:val="22"/>
        </w:rPr>
      </w:pPr>
      <w:r w:rsidRPr="001D568F">
        <w:rPr>
          <w:sz w:val="22"/>
          <w:szCs w:val="22"/>
        </w:rPr>
        <w:t>2022</w:t>
      </w:r>
    </w:p>
    <w:p w14:paraId="0DB8CEB2" w14:textId="28B5D77D" w:rsidR="00C33C35" w:rsidRPr="001D568F" w:rsidRDefault="00A311C2" w:rsidP="00A311C2">
      <w:pPr>
        <w:pStyle w:val="Default"/>
        <w:jc w:val="center"/>
        <w:rPr>
          <w:sz w:val="22"/>
          <w:szCs w:val="22"/>
        </w:rPr>
      </w:pPr>
      <w:r w:rsidRPr="001D568F">
        <w:rPr>
          <w:sz w:val="22"/>
          <w:szCs w:val="22"/>
        </w:rPr>
        <w:t>Published by</w:t>
      </w:r>
    </w:p>
    <w:p w14:paraId="05DE3818" w14:textId="10E3F8FB" w:rsidR="00C33C35" w:rsidRPr="001D568F" w:rsidRDefault="00A311C2" w:rsidP="00C33C35">
      <w:pPr>
        <w:jc w:val="center"/>
        <w:rPr>
          <w:sz w:val="22"/>
        </w:rPr>
      </w:pPr>
      <w:r w:rsidRPr="001D568F">
        <w:rPr>
          <w:sz w:val="22"/>
        </w:rPr>
        <w:t xml:space="preserve">The </w:t>
      </w:r>
      <w:r w:rsidR="00C33C35" w:rsidRPr="001D568F">
        <w:rPr>
          <w:sz w:val="22"/>
        </w:rPr>
        <w:t>International Union of Geological Sciences</w:t>
      </w:r>
    </w:p>
    <w:p w14:paraId="391A9163" w14:textId="77777777" w:rsidR="00C33C35" w:rsidRPr="001D568F" w:rsidRDefault="00C33C35" w:rsidP="00C33C35">
      <w:pPr>
        <w:jc w:val="center"/>
        <w:rPr>
          <w:sz w:val="22"/>
        </w:rPr>
      </w:pPr>
      <w:r w:rsidRPr="001D568F">
        <w:rPr>
          <w:sz w:val="22"/>
        </w:rPr>
        <w:t>Commission on Global Geochemical Baselines</w:t>
      </w:r>
    </w:p>
    <w:p w14:paraId="333C8F94" w14:textId="77777777" w:rsidR="00B545FD" w:rsidRDefault="00B545FD" w:rsidP="00C33C35">
      <w:pPr>
        <w:pStyle w:val="Default"/>
        <w:jc w:val="center"/>
      </w:pPr>
    </w:p>
    <w:p w14:paraId="355CDDAF" w14:textId="77777777" w:rsidR="00B545FD" w:rsidRDefault="00B545FD" w:rsidP="00C33C35">
      <w:pPr>
        <w:pStyle w:val="Default"/>
        <w:jc w:val="center"/>
      </w:pPr>
    </w:p>
    <w:p w14:paraId="46B14FE6" w14:textId="77777777" w:rsidR="00B545FD" w:rsidRDefault="00B545FD" w:rsidP="00B545FD">
      <w:pPr>
        <w:pStyle w:val="Default"/>
      </w:pPr>
    </w:p>
    <w:p w14:paraId="1B5315C8" w14:textId="77777777" w:rsidR="00B545FD" w:rsidRDefault="00B545FD" w:rsidP="00B545FD">
      <w:pPr>
        <w:pStyle w:val="Default"/>
      </w:pPr>
    </w:p>
    <w:p w14:paraId="5D774A5C" w14:textId="77777777" w:rsidR="00B545FD" w:rsidRDefault="00B545FD" w:rsidP="00B545FD">
      <w:pPr>
        <w:pStyle w:val="Default"/>
      </w:pPr>
    </w:p>
    <w:p w14:paraId="446C87CF" w14:textId="77777777" w:rsidR="00B545FD" w:rsidRDefault="00B545FD" w:rsidP="00B545FD">
      <w:pPr>
        <w:pStyle w:val="Default"/>
      </w:pPr>
    </w:p>
    <w:p w14:paraId="12A2E89E" w14:textId="77777777" w:rsidR="00B545FD" w:rsidRDefault="00B545FD" w:rsidP="00B545FD">
      <w:pPr>
        <w:pStyle w:val="Default"/>
      </w:pPr>
    </w:p>
    <w:p w14:paraId="0EC2B5C4" w14:textId="77777777" w:rsidR="00B545FD" w:rsidRDefault="00B545FD" w:rsidP="00B545FD">
      <w:pPr>
        <w:pStyle w:val="Default"/>
      </w:pPr>
    </w:p>
    <w:p w14:paraId="5EC3D4CD" w14:textId="77777777" w:rsidR="00B545FD" w:rsidRDefault="00B545FD" w:rsidP="00B545FD">
      <w:pPr>
        <w:pStyle w:val="Default"/>
      </w:pPr>
    </w:p>
    <w:p w14:paraId="19C7A9F2" w14:textId="77777777" w:rsidR="00B545FD" w:rsidRDefault="00B545FD" w:rsidP="00B545FD">
      <w:pPr>
        <w:pStyle w:val="Default"/>
      </w:pPr>
    </w:p>
    <w:p w14:paraId="1BCF6ADA" w14:textId="77777777" w:rsidR="00B545FD" w:rsidRDefault="00B545FD" w:rsidP="00B545FD">
      <w:pPr>
        <w:pStyle w:val="Default"/>
      </w:pPr>
    </w:p>
    <w:p w14:paraId="7F430109" w14:textId="77777777" w:rsidR="00B545FD" w:rsidRDefault="00B545FD" w:rsidP="00B545FD">
      <w:pPr>
        <w:pStyle w:val="Default"/>
      </w:pPr>
    </w:p>
    <w:p w14:paraId="488BC04A" w14:textId="77777777" w:rsidR="00B545FD" w:rsidRDefault="00B545FD" w:rsidP="00B545FD">
      <w:pPr>
        <w:pStyle w:val="Default"/>
      </w:pPr>
    </w:p>
    <w:p w14:paraId="345CA0D7" w14:textId="77777777" w:rsidR="00B545FD" w:rsidRDefault="00B545FD" w:rsidP="00B545FD">
      <w:pPr>
        <w:pStyle w:val="Default"/>
      </w:pPr>
    </w:p>
    <w:p w14:paraId="6093164B" w14:textId="77777777" w:rsidR="00B545FD" w:rsidRDefault="00B545FD" w:rsidP="00B545FD">
      <w:pPr>
        <w:pStyle w:val="Default"/>
      </w:pPr>
    </w:p>
    <w:p w14:paraId="05CB3250" w14:textId="77777777" w:rsidR="00B545FD" w:rsidRDefault="00B545FD" w:rsidP="00B545FD">
      <w:pPr>
        <w:pStyle w:val="Default"/>
      </w:pPr>
    </w:p>
    <w:p w14:paraId="170B2D29" w14:textId="77777777" w:rsidR="00ED4C59" w:rsidRPr="00EA74D3" w:rsidRDefault="00ED4C59" w:rsidP="00ED4C59">
      <w:pPr>
        <w:rPr>
          <w:rFonts w:cs="Times New Roman"/>
        </w:rPr>
      </w:pPr>
      <w:r w:rsidRPr="00EA74D3">
        <w:rPr>
          <w:rFonts w:cs="Times New Roman"/>
        </w:rPr>
        <w:t xml:space="preserve">It is recommended that reference to this part of the Manual should be made in the following way: </w:t>
      </w:r>
    </w:p>
    <w:p w14:paraId="22D0296E" w14:textId="77777777" w:rsidR="00ED4C59" w:rsidRPr="00EA74D3" w:rsidRDefault="00ED4C59" w:rsidP="00ED4C59">
      <w:pPr>
        <w:rPr>
          <w:rFonts w:cs="Times New Roman"/>
        </w:rPr>
      </w:pPr>
    </w:p>
    <w:p w14:paraId="26D228E5" w14:textId="6C977011" w:rsidR="00ED4C59" w:rsidRPr="003C1AB7" w:rsidRDefault="00ED4C59" w:rsidP="00ED4C59">
      <w:pPr>
        <w:rPr>
          <w:rFonts w:cs="Times New Roman"/>
          <w:sz w:val="22"/>
        </w:rPr>
      </w:pPr>
      <w:proofErr w:type="spellStart"/>
      <w:r w:rsidRPr="003C1AB7">
        <w:rPr>
          <w:rFonts w:cs="Times New Roman"/>
          <w:sz w:val="22"/>
        </w:rPr>
        <w:t>Lučivjanský</w:t>
      </w:r>
      <w:proofErr w:type="spellEnd"/>
      <w:r w:rsidRPr="003C1AB7">
        <w:rPr>
          <w:rFonts w:cs="Times New Roman"/>
          <w:sz w:val="22"/>
        </w:rPr>
        <w:t xml:space="preserve">, P. &amp; </w:t>
      </w:r>
      <w:proofErr w:type="spellStart"/>
      <w:r w:rsidRPr="003C1AB7">
        <w:rPr>
          <w:rFonts w:cs="Times New Roman"/>
          <w:sz w:val="22"/>
        </w:rPr>
        <w:t>Mackových</w:t>
      </w:r>
      <w:proofErr w:type="spellEnd"/>
      <w:r w:rsidRPr="003C1AB7">
        <w:rPr>
          <w:rFonts w:cs="Times New Roman"/>
          <w:sz w:val="22"/>
        </w:rPr>
        <w:t xml:space="preserve">, D., 2022. </w:t>
      </w:r>
      <w:r w:rsidRPr="003C1AB7">
        <w:rPr>
          <w:rFonts w:cs="Times New Roman"/>
          <w:i/>
          <w:iCs/>
          <w:sz w:val="22"/>
        </w:rPr>
        <w:t xml:space="preserve">Development of Reference Materials for External Quality Control. </w:t>
      </w:r>
      <w:r w:rsidRPr="003C1AB7">
        <w:rPr>
          <w:rFonts w:cs="Times New Roman"/>
          <w:sz w:val="22"/>
        </w:rPr>
        <w:t xml:space="preserve">Chapter 5 In: Demetriades, A., Johnson, C.C., Smith, D.B., </w:t>
      </w:r>
      <w:proofErr w:type="spellStart"/>
      <w:r w:rsidR="00A311C2" w:rsidRPr="003C1AB7">
        <w:rPr>
          <w:rFonts w:cs="Times New Roman"/>
          <w:sz w:val="22"/>
        </w:rPr>
        <w:t>Ladenberger</w:t>
      </w:r>
      <w:proofErr w:type="spellEnd"/>
      <w:r w:rsidR="00A311C2" w:rsidRPr="003C1AB7">
        <w:rPr>
          <w:rFonts w:cs="Times New Roman"/>
          <w:sz w:val="22"/>
        </w:rPr>
        <w:t xml:space="preserve">, A., </w:t>
      </w:r>
      <w:proofErr w:type="spellStart"/>
      <w:r w:rsidR="005B63D6" w:rsidRPr="005B63D6">
        <w:rPr>
          <w:rFonts w:cs="Times New Roman"/>
          <w:sz w:val="22"/>
        </w:rPr>
        <w:t>Adánez</w:t>
      </w:r>
      <w:proofErr w:type="spellEnd"/>
      <w:r w:rsidR="005B63D6" w:rsidRPr="005B63D6">
        <w:rPr>
          <w:rFonts w:cs="Times New Roman"/>
          <w:sz w:val="22"/>
        </w:rPr>
        <w:t xml:space="preserve"> </w:t>
      </w:r>
      <w:proofErr w:type="spellStart"/>
      <w:r w:rsidR="00A311C2" w:rsidRPr="003C1AB7">
        <w:rPr>
          <w:rFonts w:cs="Times New Roman"/>
          <w:sz w:val="22"/>
        </w:rPr>
        <w:t>Sanjuan</w:t>
      </w:r>
      <w:proofErr w:type="spellEnd"/>
      <w:r w:rsidR="00A311C2" w:rsidRPr="003C1AB7">
        <w:rPr>
          <w:rFonts w:cs="Times New Roman"/>
          <w:sz w:val="22"/>
        </w:rPr>
        <w:t xml:space="preserve">, P., </w:t>
      </w:r>
      <w:proofErr w:type="spellStart"/>
      <w:r w:rsidR="00A311C2" w:rsidRPr="003C1AB7">
        <w:rPr>
          <w:rFonts w:cs="Times New Roman"/>
          <w:sz w:val="22"/>
        </w:rPr>
        <w:t>Argyraki</w:t>
      </w:r>
      <w:proofErr w:type="spellEnd"/>
      <w:r w:rsidR="00A311C2" w:rsidRPr="003C1AB7">
        <w:rPr>
          <w:rFonts w:cs="Times New Roman"/>
          <w:sz w:val="22"/>
        </w:rPr>
        <w:t xml:space="preserve">, A., </w:t>
      </w:r>
      <w:proofErr w:type="spellStart"/>
      <w:r w:rsidR="00A311C2" w:rsidRPr="003C1AB7">
        <w:rPr>
          <w:rFonts w:cs="Times New Roman"/>
          <w:sz w:val="22"/>
        </w:rPr>
        <w:t>Stouraiti</w:t>
      </w:r>
      <w:proofErr w:type="spellEnd"/>
      <w:r w:rsidR="00A311C2" w:rsidRPr="003C1AB7">
        <w:rPr>
          <w:rFonts w:cs="Times New Roman"/>
          <w:sz w:val="22"/>
        </w:rPr>
        <w:t xml:space="preserve">, C., </w:t>
      </w:r>
      <w:proofErr w:type="spellStart"/>
      <w:r w:rsidR="00A311C2" w:rsidRPr="003C1AB7">
        <w:rPr>
          <w:rFonts w:cs="Times New Roman"/>
          <w:sz w:val="22"/>
        </w:rPr>
        <w:t>Caritat</w:t>
      </w:r>
      <w:proofErr w:type="spellEnd"/>
      <w:r w:rsidR="00A311C2" w:rsidRPr="003C1AB7">
        <w:rPr>
          <w:rFonts w:cs="Times New Roman"/>
          <w:sz w:val="22"/>
        </w:rPr>
        <w:t xml:space="preserve">, P. de, Knights, K.V., Prieto </w:t>
      </w:r>
      <w:proofErr w:type="spellStart"/>
      <w:r w:rsidR="00A311C2" w:rsidRPr="003C1AB7">
        <w:rPr>
          <w:rFonts w:cs="Times New Roman"/>
          <w:sz w:val="22"/>
        </w:rPr>
        <w:t>Rincón</w:t>
      </w:r>
      <w:proofErr w:type="spellEnd"/>
      <w:r w:rsidR="00A311C2" w:rsidRPr="003C1AB7">
        <w:rPr>
          <w:rFonts w:cs="Times New Roman"/>
          <w:sz w:val="22"/>
        </w:rPr>
        <w:t xml:space="preserve">, G. &amp; </w:t>
      </w:r>
      <w:proofErr w:type="spellStart"/>
      <w:r w:rsidR="00A311C2" w:rsidRPr="003C1AB7">
        <w:rPr>
          <w:rFonts w:cs="Times New Roman"/>
          <w:sz w:val="22"/>
        </w:rPr>
        <w:t>Simubali</w:t>
      </w:r>
      <w:proofErr w:type="spellEnd"/>
      <w:r w:rsidR="00A311C2" w:rsidRPr="003C1AB7">
        <w:rPr>
          <w:rFonts w:cs="Times New Roman"/>
          <w:sz w:val="22"/>
        </w:rPr>
        <w:t>, G.N.</w:t>
      </w:r>
      <w:r w:rsidRPr="003C1AB7">
        <w:rPr>
          <w:rFonts w:cs="Times New Roman"/>
          <w:sz w:val="22"/>
        </w:rPr>
        <w:t xml:space="preserve"> (Editors), International Union of Geological Sciences Manual of Standard Methods for Establishing the Global Geochemical Reference Network. IUGS Commission on Global Geochemical Baselines, Athens, Hell</w:t>
      </w:r>
      <w:r w:rsidR="005B27B3" w:rsidRPr="003C1AB7">
        <w:rPr>
          <w:rFonts w:cs="Times New Roman"/>
          <w:sz w:val="22"/>
        </w:rPr>
        <w:t>enic Republic</w:t>
      </w:r>
      <w:r w:rsidRPr="003C1AB7">
        <w:rPr>
          <w:rFonts w:cs="Times New Roman"/>
          <w:sz w:val="22"/>
        </w:rPr>
        <w:t xml:space="preserve">, Special Publication, </w:t>
      </w:r>
      <w:r w:rsidRPr="003C1AB7">
        <w:rPr>
          <w:rFonts w:cs="Times New Roman"/>
          <w:b/>
          <w:bCs/>
          <w:sz w:val="22"/>
        </w:rPr>
        <w:t>2</w:t>
      </w:r>
      <w:r w:rsidRPr="003C1AB7">
        <w:rPr>
          <w:rFonts w:cs="Times New Roman"/>
          <w:sz w:val="22"/>
        </w:rPr>
        <w:t xml:space="preserve">, </w:t>
      </w:r>
      <w:r w:rsidR="00825211" w:rsidRPr="003C1AB7">
        <w:rPr>
          <w:rFonts w:cs="Times New Roman"/>
          <w:sz w:val="22"/>
        </w:rPr>
        <w:t>32</w:t>
      </w:r>
      <w:r w:rsidR="004C71E6" w:rsidRPr="003C1AB7">
        <w:rPr>
          <w:rFonts w:cs="Times New Roman"/>
          <w:sz w:val="22"/>
        </w:rPr>
        <w:t>3</w:t>
      </w:r>
      <w:r w:rsidRPr="003C1AB7">
        <w:rPr>
          <w:rFonts w:cs="Times New Roman"/>
          <w:sz w:val="22"/>
        </w:rPr>
        <w:t>−</w:t>
      </w:r>
      <w:r w:rsidR="00825211" w:rsidRPr="003C1AB7">
        <w:rPr>
          <w:rFonts w:cs="Times New Roman"/>
          <w:sz w:val="22"/>
        </w:rPr>
        <w:t>33</w:t>
      </w:r>
      <w:r w:rsidR="004C71E6" w:rsidRPr="003C1AB7">
        <w:rPr>
          <w:rFonts w:cs="Times New Roman"/>
          <w:sz w:val="22"/>
        </w:rPr>
        <w:t>3</w:t>
      </w:r>
      <w:r w:rsidRPr="003C1AB7">
        <w:rPr>
          <w:rFonts w:cs="Times New Roman"/>
          <w:sz w:val="22"/>
        </w:rPr>
        <w:t>.</w:t>
      </w:r>
    </w:p>
    <w:p w14:paraId="67779B0D" w14:textId="77777777" w:rsidR="00ED4C59" w:rsidRPr="00EA74D3" w:rsidRDefault="00ED4C59" w:rsidP="00ED4C59">
      <w:pPr>
        <w:rPr>
          <w:rFonts w:cs="Times New Roman"/>
        </w:rPr>
      </w:pPr>
    </w:p>
    <w:p w14:paraId="728434F6" w14:textId="77777777" w:rsidR="00ED4C59" w:rsidRPr="00EA74D3" w:rsidRDefault="00ED4C59" w:rsidP="00ED4C59">
      <w:pPr>
        <w:rPr>
          <w:rFonts w:cs="Times New Roman"/>
        </w:rPr>
      </w:pPr>
    </w:p>
    <w:p w14:paraId="54F0A924" w14:textId="77777777" w:rsidR="00ED4C59" w:rsidRPr="00EA74D3" w:rsidRDefault="00ED4C59" w:rsidP="00ED4C59">
      <w:pPr>
        <w:rPr>
          <w:rFonts w:cs="Times New Roman"/>
        </w:rPr>
      </w:pPr>
    </w:p>
    <w:p w14:paraId="2F95B9F3" w14:textId="77777777" w:rsidR="00ED4C59" w:rsidRPr="00EA74D3" w:rsidRDefault="00ED4C59" w:rsidP="00ED4C59">
      <w:pPr>
        <w:rPr>
          <w:rFonts w:cs="Times New Roman"/>
        </w:rPr>
      </w:pPr>
    </w:p>
    <w:p w14:paraId="1E0B5A06" w14:textId="77777777" w:rsidR="00ED4C59" w:rsidRPr="00EA74D3" w:rsidRDefault="00ED4C59" w:rsidP="00ED4C59">
      <w:pPr>
        <w:rPr>
          <w:rFonts w:cs="Times New Roman"/>
        </w:rPr>
      </w:pPr>
    </w:p>
    <w:p w14:paraId="34895B3E" w14:textId="77777777" w:rsidR="00ED4C59" w:rsidRPr="00EA74D3" w:rsidRDefault="00ED4C59" w:rsidP="00ED4C59">
      <w:pPr>
        <w:rPr>
          <w:rFonts w:cs="Times New Roman"/>
        </w:rPr>
      </w:pPr>
    </w:p>
    <w:p w14:paraId="147E22CE" w14:textId="77777777" w:rsidR="00ED4C59" w:rsidRPr="00EA74D3" w:rsidRDefault="00ED4C59" w:rsidP="00ED4C59">
      <w:pPr>
        <w:rPr>
          <w:rFonts w:cs="Times New Roman"/>
        </w:rPr>
      </w:pPr>
    </w:p>
    <w:p w14:paraId="460A050A" w14:textId="77777777" w:rsidR="00ED4C59" w:rsidRPr="00EA74D3" w:rsidRDefault="00ED4C59" w:rsidP="00ED4C59">
      <w:pPr>
        <w:rPr>
          <w:rFonts w:cs="Times New Roman"/>
        </w:rPr>
      </w:pPr>
    </w:p>
    <w:p w14:paraId="5AF9E52F" w14:textId="77777777" w:rsidR="00A311C2" w:rsidRDefault="00ED4C59" w:rsidP="00ED4C59">
      <w:pPr>
        <w:rPr>
          <w:rFonts w:cs="Times New Roman"/>
        </w:rPr>
      </w:pPr>
      <w:r w:rsidRPr="00EA74D3">
        <w:rPr>
          <w:rFonts w:cs="Times New Roman"/>
        </w:rPr>
        <w:t>Published by</w:t>
      </w:r>
    </w:p>
    <w:p w14:paraId="09D80BC8" w14:textId="1084E8C2" w:rsidR="00ED4C59" w:rsidRPr="00EA74D3" w:rsidRDefault="00A311C2" w:rsidP="00ED4C59">
      <w:pPr>
        <w:rPr>
          <w:rFonts w:cs="Times New Roman"/>
        </w:rPr>
      </w:pPr>
      <w:r>
        <w:rPr>
          <w:rFonts w:cs="Times New Roman"/>
        </w:rPr>
        <w:t>T</w:t>
      </w:r>
      <w:r w:rsidR="00ED4C59" w:rsidRPr="00EA74D3">
        <w:rPr>
          <w:rFonts w:cs="Times New Roman"/>
        </w:rPr>
        <w:t>he International Union of Geological Sciences</w:t>
      </w:r>
    </w:p>
    <w:p w14:paraId="4048BA31" w14:textId="55E20D80" w:rsidR="00ED4C59" w:rsidRPr="00EA74D3" w:rsidRDefault="00ED4C59" w:rsidP="00ED4C59">
      <w:pPr>
        <w:rPr>
          <w:rFonts w:cs="Times New Roman"/>
        </w:rPr>
      </w:pPr>
      <w:r w:rsidRPr="00EA74D3">
        <w:rPr>
          <w:rFonts w:cs="Times New Roman"/>
        </w:rPr>
        <w:t>Commission on Global Geochemical Baselines</w:t>
      </w:r>
    </w:p>
    <w:p w14:paraId="411BCF07" w14:textId="5C2CDC16" w:rsidR="00ED4C59" w:rsidRPr="00EA74D3" w:rsidRDefault="00ED4C59" w:rsidP="00ED4C59">
      <w:pPr>
        <w:rPr>
          <w:rFonts w:cs="Times New Roman"/>
        </w:rPr>
      </w:pPr>
      <w:r w:rsidRPr="00EA74D3">
        <w:rPr>
          <w:rFonts w:cs="Times New Roman"/>
        </w:rPr>
        <w:t xml:space="preserve">P.O. Box 640 37, </w:t>
      </w:r>
      <w:proofErr w:type="spellStart"/>
      <w:r w:rsidRPr="00EA74D3">
        <w:rPr>
          <w:rFonts w:cs="Times New Roman"/>
        </w:rPr>
        <w:t>Zografou</w:t>
      </w:r>
      <w:proofErr w:type="spellEnd"/>
    </w:p>
    <w:p w14:paraId="62E22897" w14:textId="40042A1C" w:rsidR="00ED4C59" w:rsidRPr="00EA74D3" w:rsidRDefault="00ED4C59" w:rsidP="00ED4C59">
      <w:pPr>
        <w:rPr>
          <w:rFonts w:cs="Times New Roman"/>
        </w:rPr>
      </w:pPr>
      <w:r w:rsidRPr="00EA74D3">
        <w:rPr>
          <w:rFonts w:cs="Times New Roman"/>
        </w:rPr>
        <w:t>GR-157 10 Athens</w:t>
      </w:r>
    </w:p>
    <w:p w14:paraId="193C1C06" w14:textId="6AFDCB0B" w:rsidR="00ED4C59" w:rsidRPr="00EA74D3" w:rsidRDefault="00ED4C59" w:rsidP="00ED4C59">
      <w:pPr>
        <w:rPr>
          <w:rFonts w:cs="Times New Roman"/>
        </w:rPr>
      </w:pPr>
      <w:r w:rsidRPr="00EA74D3">
        <w:rPr>
          <w:rFonts w:cs="Times New Roman"/>
        </w:rPr>
        <w:t>Hell</w:t>
      </w:r>
      <w:r w:rsidR="00A311C2">
        <w:rPr>
          <w:rFonts w:cs="Times New Roman"/>
        </w:rPr>
        <w:t>enic Republic</w:t>
      </w:r>
    </w:p>
    <w:p w14:paraId="320BCCA0" w14:textId="74EE735E" w:rsidR="00ED4C59" w:rsidRPr="00EA74D3" w:rsidRDefault="00000000" w:rsidP="00ED4C59">
      <w:pPr>
        <w:rPr>
          <w:rFonts w:cs="Times New Roman"/>
        </w:rPr>
      </w:pPr>
      <w:hyperlink r:id="rId11" w:history="1">
        <w:r w:rsidR="00A311C2" w:rsidRPr="00127630">
          <w:rPr>
            <w:rStyle w:val="Hyperlink"/>
          </w:rPr>
          <w:t>http://www</w:t>
        </w:r>
        <w:r w:rsidR="00A311C2" w:rsidRPr="00127630">
          <w:rPr>
            <w:rStyle w:val="Hyperlink"/>
            <w:rFonts w:cs="Times New Roman"/>
          </w:rPr>
          <w:t>.iugs.org/</w:t>
        </w:r>
      </w:hyperlink>
      <w:r w:rsidR="00A311C2">
        <w:rPr>
          <w:rFonts w:cs="Times New Roman"/>
        </w:rPr>
        <w:t xml:space="preserve"> </w:t>
      </w:r>
      <w:r w:rsidR="00ED4C59" w:rsidRPr="00EA74D3">
        <w:rPr>
          <w:rFonts w:cs="Times New Roman"/>
        </w:rPr>
        <w:t xml:space="preserve"> </w:t>
      </w:r>
    </w:p>
    <w:p w14:paraId="09B5E3AE" w14:textId="289D3A7C" w:rsidR="00ED4C59" w:rsidRPr="00EA74D3" w:rsidRDefault="00000000" w:rsidP="00ED4C59">
      <w:pPr>
        <w:rPr>
          <w:rFonts w:cs="Times New Roman"/>
        </w:rPr>
      </w:pPr>
      <w:hyperlink r:id="rId12" w:history="1">
        <w:r w:rsidR="00A311C2" w:rsidRPr="00127630">
          <w:rPr>
            <w:rStyle w:val="Hyperlink"/>
          </w:rPr>
          <w:t>http://www</w:t>
        </w:r>
        <w:r w:rsidR="00A311C2" w:rsidRPr="00127630">
          <w:rPr>
            <w:rStyle w:val="Hyperlink"/>
            <w:rFonts w:cs="Times New Roman"/>
          </w:rPr>
          <w:t>.globalgeochemicalbaselines.eu/</w:t>
        </w:r>
      </w:hyperlink>
      <w:r w:rsidR="00A311C2">
        <w:rPr>
          <w:rFonts w:cs="Times New Roman"/>
        </w:rPr>
        <w:t xml:space="preserve"> </w:t>
      </w:r>
    </w:p>
    <w:p w14:paraId="21EC3D9D" w14:textId="77777777" w:rsidR="00ED4C59" w:rsidRPr="00EA74D3" w:rsidRDefault="00ED4C59" w:rsidP="00ED4C59">
      <w:pPr>
        <w:rPr>
          <w:rFonts w:cs="Times New Roman"/>
        </w:rPr>
      </w:pPr>
    </w:p>
    <w:p w14:paraId="7F047ABC" w14:textId="646CD50C" w:rsidR="00ED4C59" w:rsidRPr="00A311C2" w:rsidRDefault="00ED4C59" w:rsidP="00ED4C59">
      <w:pPr>
        <w:rPr>
          <w:rFonts w:cs="Times New Roman"/>
          <w:b/>
          <w:bCs/>
        </w:rPr>
      </w:pPr>
      <w:r w:rsidRPr="00A311C2">
        <w:rPr>
          <w:rFonts w:cs="Times New Roman"/>
          <w:b/>
          <w:bCs/>
        </w:rPr>
        <w:t>National Library of Greece Cataloguing in Publication Data</w:t>
      </w:r>
    </w:p>
    <w:p w14:paraId="69E5822B" w14:textId="77777777" w:rsidR="00ED4C59" w:rsidRPr="00EA74D3" w:rsidRDefault="00ED4C59" w:rsidP="00ED4C59">
      <w:pPr>
        <w:rPr>
          <w:rFonts w:cs="Times New Roman"/>
        </w:rPr>
      </w:pPr>
      <w:r w:rsidRPr="00EA74D3">
        <w:rPr>
          <w:rFonts w:cs="Times New Roman"/>
        </w:rPr>
        <w:t>A catalogue record for this electronic book is available from the</w:t>
      </w:r>
    </w:p>
    <w:p w14:paraId="24BF9FD6" w14:textId="3E360A0C" w:rsidR="00ED4C59" w:rsidRPr="00EA74D3" w:rsidRDefault="00ED4C59" w:rsidP="00ED4C59">
      <w:pPr>
        <w:rPr>
          <w:rFonts w:cs="Times New Roman"/>
        </w:rPr>
      </w:pPr>
      <w:r w:rsidRPr="00EA74D3">
        <w:rPr>
          <w:rFonts w:cs="Times New Roman"/>
        </w:rPr>
        <w:t>National Library of Greece</w:t>
      </w:r>
    </w:p>
    <w:p w14:paraId="6663A404" w14:textId="77777777" w:rsidR="00ED4C59" w:rsidRPr="00EA74D3" w:rsidRDefault="00ED4C59" w:rsidP="00ED4C59">
      <w:pPr>
        <w:rPr>
          <w:rFonts w:cs="Times New Roman"/>
        </w:rPr>
      </w:pPr>
    </w:p>
    <w:p w14:paraId="79CEEC9F" w14:textId="77777777" w:rsidR="00A01F7A" w:rsidRPr="000C2196" w:rsidRDefault="00A01F7A" w:rsidP="00A01F7A">
      <w:pPr>
        <w:rPr>
          <w:rFonts w:cs="Times New Roman"/>
          <w:color w:val="000000"/>
          <w:kern w:val="24"/>
          <w:szCs w:val="24"/>
        </w:rPr>
      </w:pPr>
      <w:bookmarkStart w:id="1" w:name="_Hlk106351495"/>
      <w:r w:rsidRPr="000C2196">
        <w:rPr>
          <w:rFonts w:cs="Times New Roman"/>
          <w:color w:val="000000"/>
          <w:kern w:val="24"/>
          <w:szCs w:val="24"/>
        </w:rPr>
        <w:t>ISBN: 978-618-85049-1-2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7077"/>
      </w:tblGrid>
      <w:tr w:rsidR="00A01F7A" w14:paraId="75671426" w14:textId="77777777" w:rsidTr="00DC4268">
        <w:tc>
          <w:tcPr>
            <w:tcW w:w="2268" w:type="dxa"/>
          </w:tcPr>
          <w:p w14:paraId="125895D0" w14:textId="77777777" w:rsidR="00A01F7A" w:rsidRDefault="00A01F7A" w:rsidP="00DC4268">
            <w:r w:rsidRPr="00D8715F">
              <w:rPr>
                <w:noProof/>
              </w:rPr>
              <w:drawing>
                <wp:inline distT="0" distB="0" distL="0" distR="0" wp14:anchorId="673C2768" wp14:editId="09C0BA9E">
                  <wp:extent cx="1143000" cy="1076325"/>
                  <wp:effectExtent l="0" t="0" r="0" b="9525"/>
                  <wp:docPr id="34" name="Picture 34" descr="Background patter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Background pattern&#10;&#10;Description automatically generated with low confidence"/>
                          <pic:cNvPicPr>
                            <a:picLocks noChangeAspect="1" noChangeArrowheads="1"/>
                          </pic:cNvPicPr>
                        </pic:nvPicPr>
                        <pic:blipFill>
                          <a:blip r:embed="rId13">
                            <a:extLst>
                              <a:ext uri="{28A0092B-C50C-407E-A947-70E740481C1C}">
                                <a14:useLocalDpi xmlns:a14="http://schemas.microsoft.com/office/drawing/2010/main"/>
                              </a:ext>
                            </a:extLst>
                          </a:blip>
                          <a:srcRect/>
                          <a:stretch>
                            <a:fillRect/>
                          </a:stretch>
                        </pic:blipFill>
                        <pic:spPr bwMode="auto">
                          <a:xfrm>
                            <a:off x="0" y="0"/>
                            <a:ext cx="1143000" cy="1076325"/>
                          </a:xfrm>
                          <a:prstGeom prst="rect">
                            <a:avLst/>
                          </a:prstGeom>
                          <a:noFill/>
                          <a:ln>
                            <a:noFill/>
                          </a:ln>
                        </pic:spPr>
                      </pic:pic>
                    </a:graphicData>
                  </a:graphic>
                </wp:inline>
              </w:drawing>
            </w:r>
          </w:p>
        </w:tc>
        <w:tc>
          <w:tcPr>
            <w:tcW w:w="7077" w:type="dxa"/>
          </w:tcPr>
          <w:p w14:paraId="6B77FE63" w14:textId="77777777" w:rsidR="00A01F7A" w:rsidRDefault="00A01F7A" w:rsidP="00DC4268"/>
        </w:tc>
      </w:tr>
    </w:tbl>
    <w:p w14:paraId="0E7CDD22" w14:textId="77777777" w:rsidR="00A01F7A" w:rsidRDefault="00A01F7A" w:rsidP="00A01F7A"/>
    <w:p w14:paraId="7988AA81" w14:textId="77777777" w:rsidR="00B545FD" w:rsidRDefault="00B545FD" w:rsidP="00B545FD">
      <w:pPr>
        <w:pStyle w:val="Default"/>
      </w:pPr>
    </w:p>
    <w:bookmarkEnd w:id="1"/>
    <w:p w14:paraId="412357E8" w14:textId="2C9CAE28" w:rsidR="00835A55" w:rsidRPr="00835A55" w:rsidRDefault="009C2674" w:rsidP="002A1399">
      <w:pPr>
        <w:pStyle w:val="TOCHeading"/>
      </w:pPr>
      <w:r w:rsidRPr="00A311C2">
        <w:rPr>
          <w:rFonts w:ascii="Times New Roman" w:hAnsi="Times New Roman"/>
          <w:b/>
          <w:bCs/>
          <w:color w:val="auto"/>
          <w:sz w:val="28"/>
          <w:szCs w:val="28"/>
        </w:rPr>
        <w:lastRenderedPageBreak/>
        <w:t>Contents</w:t>
      </w:r>
    </w:p>
    <w:p w14:paraId="72B281E3" w14:textId="77777777" w:rsidR="002A1399" w:rsidRDefault="002A1399" w:rsidP="002A1399">
      <w:pPr>
        <w:pStyle w:val="TOC2"/>
        <w:tabs>
          <w:tab w:val="right" w:leader="dot" w:pos="9345"/>
        </w:tabs>
        <w:spacing w:after="0"/>
      </w:pPr>
    </w:p>
    <w:p w14:paraId="1EDEB3CB" w14:textId="37F1D3E6" w:rsidR="002A1399" w:rsidRPr="002A1399" w:rsidRDefault="00237083" w:rsidP="002A1399">
      <w:pPr>
        <w:pStyle w:val="TOC2"/>
        <w:tabs>
          <w:tab w:val="right" w:leader="dot" w:pos="9345"/>
        </w:tabs>
        <w:spacing w:after="0"/>
        <w:rPr>
          <w:rFonts w:asciiTheme="minorHAnsi" w:eastAsiaTheme="minorEastAsia" w:hAnsiTheme="minorHAnsi" w:cstheme="minorBidi"/>
          <w:noProof/>
          <w:sz w:val="22"/>
          <w:lang w:eastAsia="en-GB"/>
        </w:rPr>
      </w:pPr>
      <w:r>
        <w:fldChar w:fldCharType="begin"/>
      </w:r>
      <w:r>
        <w:instrText xml:space="preserve"> TOC \o "1-6" \h \z \u </w:instrText>
      </w:r>
      <w:r>
        <w:fldChar w:fldCharType="separate"/>
      </w:r>
      <w:hyperlink w:anchor="_Toc106207779" w:history="1">
        <w:r w:rsidR="002A1399" w:rsidRPr="002A1399">
          <w:rPr>
            <w:rStyle w:val="Hyperlink"/>
            <w:noProof/>
            <w:sz w:val="22"/>
          </w:rPr>
          <w:t>5.1. Introduction</w:t>
        </w:r>
        <w:r w:rsidR="002A1399" w:rsidRPr="002A1399">
          <w:rPr>
            <w:noProof/>
            <w:webHidden/>
            <w:sz w:val="22"/>
          </w:rPr>
          <w:tab/>
        </w:r>
        <w:r w:rsidR="002A1399" w:rsidRPr="002A1399">
          <w:rPr>
            <w:noProof/>
            <w:webHidden/>
            <w:sz w:val="22"/>
          </w:rPr>
          <w:fldChar w:fldCharType="begin"/>
        </w:r>
        <w:r w:rsidR="002A1399" w:rsidRPr="002A1399">
          <w:rPr>
            <w:noProof/>
            <w:webHidden/>
            <w:sz w:val="22"/>
          </w:rPr>
          <w:instrText xml:space="preserve"> PAGEREF _Toc106207779 \h </w:instrText>
        </w:r>
        <w:r w:rsidR="002A1399" w:rsidRPr="002A1399">
          <w:rPr>
            <w:noProof/>
            <w:webHidden/>
            <w:sz w:val="22"/>
          </w:rPr>
        </w:r>
        <w:r w:rsidR="002A1399" w:rsidRPr="002A1399">
          <w:rPr>
            <w:noProof/>
            <w:webHidden/>
            <w:sz w:val="22"/>
          </w:rPr>
          <w:fldChar w:fldCharType="separate"/>
        </w:r>
        <w:r w:rsidR="004F1077">
          <w:rPr>
            <w:noProof/>
            <w:webHidden/>
            <w:sz w:val="22"/>
          </w:rPr>
          <w:t>327</w:t>
        </w:r>
        <w:r w:rsidR="002A1399" w:rsidRPr="002A1399">
          <w:rPr>
            <w:noProof/>
            <w:webHidden/>
            <w:sz w:val="22"/>
          </w:rPr>
          <w:fldChar w:fldCharType="end"/>
        </w:r>
      </w:hyperlink>
    </w:p>
    <w:p w14:paraId="60A4440B" w14:textId="2A4AFF7E" w:rsidR="002A1399" w:rsidRPr="002A1399" w:rsidRDefault="00000000" w:rsidP="002A1399">
      <w:pPr>
        <w:pStyle w:val="TOC3"/>
        <w:rPr>
          <w:rFonts w:asciiTheme="minorHAnsi" w:eastAsiaTheme="minorEastAsia" w:hAnsiTheme="minorHAnsi" w:cstheme="minorBidi"/>
          <w:noProof/>
          <w:sz w:val="22"/>
          <w:lang w:eastAsia="en-GB"/>
        </w:rPr>
      </w:pPr>
      <w:hyperlink w:anchor="_Toc106207780" w:history="1">
        <w:r w:rsidR="002A1399" w:rsidRPr="002A1399">
          <w:rPr>
            <w:rStyle w:val="Hyperlink"/>
            <w:noProof/>
            <w:sz w:val="22"/>
          </w:rPr>
          <w:t>5.1.1. Definitions</w:t>
        </w:r>
        <w:r w:rsidR="002A1399" w:rsidRPr="002A1399">
          <w:rPr>
            <w:noProof/>
            <w:webHidden/>
            <w:sz w:val="22"/>
          </w:rPr>
          <w:tab/>
        </w:r>
        <w:r w:rsidR="002A1399" w:rsidRPr="002A1399">
          <w:rPr>
            <w:noProof/>
            <w:webHidden/>
            <w:sz w:val="22"/>
          </w:rPr>
          <w:fldChar w:fldCharType="begin"/>
        </w:r>
        <w:r w:rsidR="002A1399" w:rsidRPr="002A1399">
          <w:rPr>
            <w:noProof/>
            <w:webHidden/>
            <w:sz w:val="22"/>
          </w:rPr>
          <w:instrText xml:space="preserve"> PAGEREF _Toc106207780 \h </w:instrText>
        </w:r>
        <w:r w:rsidR="002A1399" w:rsidRPr="002A1399">
          <w:rPr>
            <w:noProof/>
            <w:webHidden/>
            <w:sz w:val="22"/>
          </w:rPr>
        </w:r>
        <w:r w:rsidR="002A1399" w:rsidRPr="002A1399">
          <w:rPr>
            <w:noProof/>
            <w:webHidden/>
            <w:sz w:val="22"/>
          </w:rPr>
          <w:fldChar w:fldCharType="separate"/>
        </w:r>
        <w:r w:rsidR="004F1077">
          <w:rPr>
            <w:noProof/>
            <w:webHidden/>
            <w:sz w:val="22"/>
          </w:rPr>
          <w:t>327</w:t>
        </w:r>
        <w:r w:rsidR="002A1399" w:rsidRPr="002A1399">
          <w:rPr>
            <w:noProof/>
            <w:webHidden/>
            <w:sz w:val="22"/>
          </w:rPr>
          <w:fldChar w:fldCharType="end"/>
        </w:r>
      </w:hyperlink>
    </w:p>
    <w:p w14:paraId="18D336E9" w14:textId="7CACF713" w:rsidR="002A1399" w:rsidRPr="002A1399" w:rsidRDefault="00000000" w:rsidP="002A1399">
      <w:pPr>
        <w:pStyle w:val="TOC2"/>
        <w:tabs>
          <w:tab w:val="right" w:leader="dot" w:pos="9345"/>
        </w:tabs>
        <w:spacing w:after="0"/>
        <w:rPr>
          <w:rFonts w:asciiTheme="minorHAnsi" w:eastAsiaTheme="minorEastAsia" w:hAnsiTheme="minorHAnsi" w:cstheme="minorBidi"/>
          <w:noProof/>
          <w:sz w:val="22"/>
          <w:lang w:eastAsia="en-GB"/>
        </w:rPr>
      </w:pPr>
      <w:hyperlink w:anchor="_Toc106207781" w:history="1">
        <w:r w:rsidR="002A1399" w:rsidRPr="002A1399">
          <w:rPr>
            <w:rStyle w:val="Hyperlink"/>
            <w:noProof/>
            <w:sz w:val="22"/>
          </w:rPr>
          <w:t>5.2. Planning preparation of Reference Materials</w:t>
        </w:r>
        <w:r w:rsidR="002A1399" w:rsidRPr="002A1399">
          <w:rPr>
            <w:noProof/>
            <w:webHidden/>
            <w:sz w:val="22"/>
          </w:rPr>
          <w:tab/>
        </w:r>
        <w:r w:rsidR="002A1399" w:rsidRPr="002A1399">
          <w:rPr>
            <w:noProof/>
            <w:webHidden/>
            <w:sz w:val="22"/>
          </w:rPr>
          <w:fldChar w:fldCharType="begin"/>
        </w:r>
        <w:r w:rsidR="002A1399" w:rsidRPr="002A1399">
          <w:rPr>
            <w:noProof/>
            <w:webHidden/>
            <w:sz w:val="22"/>
          </w:rPr>
          <w:instrText xml:space="preserve"> PAGEREF _Toc106207781 \h </w:instrText>
        </w:r>
        <w:r w:rsidR="002A1399" w:rsidRPr="002A1399">
          <w:rPr>
            <w:noProof/>
            <w:webHidden/>
            <w:sz w:val="22"/>
          </w:rPr>
        </w:r>
        <w:r w:rsidR="002A1399" w:rsidRPr="002A1399">
          <w:rPr>
            <w:noProof/>
            <w:webHidden/>
            <w:sz w:val="22"/>
          </w:rPr>
          <w:fldChar w:fldCharType="separate"/>
        </w:r>
        <w:r w:rsidR="004F1077">
          <w:rPr>
            <w:noProof/>
            <w:webHidden/>
            <w:sz w:val="22"/>
          </w:rPr>
          <w:t>328</w:t>
        </w:r>
        <w:r w:rsidR="002A1399" w:rsidRPr="002A1399">
          <w:rPr>
            <w:noProof/>
            <w:webHidden/>
            <w:sz w:val="22"/>
          </w:rPr>
          <w:fldChar w:fldCharType="end"/>
        </w:r>
      </w:hyperlink>
    </w:p>
    <w:p w14:paraId="79EE451C" w14:textId="2620E4F0" w:rsidR="002A1399" w:rsidRPr="002A1399" w:rsidRDefault="00000000" w:rsidP="002A1399">
      <w:pPr>
        <w:pStyle w:val="TOC2"/>
        <w:tabs>
          <w:tab w:val="right" w:leader="dot" w:pos="9345"/>
        </w:tabs>
        <w:spacing w:after="0"/>
        <w:rPr>
          <w:rFonts w:asciiTheme="minorHAnsi" w:eastAsiaTheme="minorEastAsia" w:hAnsiTheme="minorHAnsi" w:cstheme="minorBidi"/>
          <w:noProof/>
          <w:sz w:val="22"/>
          <w:lang w:eastAsia="en-GB"/>
        </w:rPr>
      </w:pPr>
      <w:hyperlink w:anchor="_Toc106207782" w:history="1">
        <w:r w:rsidR="002A1399" w:rsidRPr="002A1399">
          <w:rPr>
            <w:rStyle w:val="Hyperlink"/>
            <w:noProof/>
            <w:sz w:val="22"/>
          </w:rPr>
          <w:t>5.3. Collection of RM sample</w:t>
        </w:r>
        <w:r w:rsidR="002A1399" w:rsidRPr="002A1399">
          <w:rPr>
            <w:noProof/>
            <w:webHidden/>
            <w:sz w:val="22"/>
          </w:rPr>
          <w:tab/>
        </w:r>
        <w:r w:rsidR="002A1399" w:rsidRPr="002A1399">
          <w:rPr>
            <w:noProof/>
            <w:webHidden/>
            <w:sz w:val="22"/>
          </w:rPr>
          <w:fldChar w:fldCharType="begin"/>
        </w:r>
        <w:r w:rsidR="002A1399" w:rsidRPr="002A1399">
          <w:rPr>
            <w:noProof/>
            <w:webHidden/>
            <w:sz w:val="22"/>
          </w:rPr>
          <w:instrText xml:space="preserve"> PAGEREF _Toc106207782 \h </w:instrText>
        </w:r>
        <w:r w:rsidR="002A1399" w:rsidRPr="002A1399">
          <w:rPr>
            <w:noProof/>
            <w:webHidden/>
            <w:sz w:val="22"/>
          </w:rPr>
        </w:r>
        <w:r w:rsidR="002A1399" w:rsidRPr="002A1399">
          <w:rPr>
            <w:noProof/>
            <w:webHidden/>
            <w:sz w:val="22"/>
          </w:rPr>
          <w:fldChar w:fldCharType="separate"/>
        </w:r>
        <w:r w:rsidR="004F1077">
          <w:rPr>
            <w:noProof/>
            <w:webHidden/>
            <w:sz w:val="22"/>
          </w:rPr>
          <w:t>328</w:t>
        </w:r>
        <w:r w:rsidR="002A1399" w:rsidRPr="002A1399">
          <w:rPr>
            <w:noProof/>
            <w:webHidden/>
            <w:sz w:val="22"/>
          </w:rPr>
          <w:fldChar w:fldCharType="end"/>
        </w:r>
      </w:hyperlink>
    </w:p>
    <w:p w14:paraId="44DE336A" w14:textId="0D1C848F" w:rsidR="002A1399" w:rsidRPr="002A1399" w:rsidRDefault="00000000" w:rsidP="002A1399">
      <w:pPr>
        <w:pStyle w:val="TOC2"/>
        <w:tabs>
          <w:tab w:val="right" w:leader="dot" w:pos="9345"/>
        </w:tabs>
        <w:spacing w:after="0"/>
        <w:rPr>
          <w:rFonts w:asciiTheme="minorHAnsi" w:eastAsiaTheme="minorEastAsia" w:hAnsiTheme="minorHAnsi" w:cstheme="minorBidi"/>
          <w:noProof/>
          <w:sz w:val="22"/>
          <w:lang w:eastAsia="en-GB"/>
        </w:rPr>
      </w:pPr>
      <w:hyperlink w:anchor="_Toc106207783" w:history="1">
        <w:r w:rsidR="002A1399" w:rsidRPr="002A1399">
          <w:rPr>
            <w:rStyle w:val="Hyperlink"/>
            <w:noProof/>
            <w:sz w:val="22"/>
          </w:rPr>
          <w:t>5.4. Preparation of RM</w:t>
        </w:r>
        <w:r w:rsidR="002A1399" w:rsidRPr="002A1399">
          <w:rPr>
            <w:noProof/>
            <w:webHidden/>
            <w:sz w:val="22"/>
          </w:rPr>
          <w:tab/>
        </w:r>
        <w:r w:rsidR="002A1399" w:rsidRPr="002A1399">
          <w:rPr>
            <w:noProof/>
            <w:webHidden/>
            <w:sz w:val="22"/>
          </w:rPr>
          <w:fldChar w:fldCharType="begin"/>
        </w:r>
        <w:r w:rsidR="002A1399" w:rsidRPr="002A1399">
          <w:rPr>
            <w:noProof/>
            <w:webHidden/>
            <w:sz w:val="22"/>
          </w:rPr>
          <w:instrText xml:space="preserve"> PAGEREF _Toc106207783 \h </w:instrText>
        </w:r>
        <w:r w:rsidR="002A1399" w:rsidRPr="002A1399">
          <w:rPr>
            <w:noProof/>
            <w:webHidden/>
            <w:sz w:val="22"/>
          </w:rPr>
        </w:r>
        <w:r w:rsidR="002A1399" w:rsidRPr="002A1399">
          <w:rPr>
            <w:noProof/>
            <w:webHidden/>
            <w:sz w:val="22"/>
          </w:rPr>
          <w:fldChar w:fldCharType="separate"/>
        </w:r>
        <w:r w:rsidR="004F1077">
          <w:rPr>
            <w:noProof/>
            <w:webHidden/>
            <w:sz w:val="22"/>
          </w:rPr>
          <w:t>328</w:t>
        </w:r>
        <w:r w:rsidR="002A1399" w:rsidRPr="002A1399">
          <w:rPr>
            <w:noProof/>
            <w:webHidden/>
            <w:sz w:val="22"/>
          </w:rPr>
          <w:fldChar w:fldCharType="end"/>
        </w:r>
      </w:hyperlink>
    </w:p>
    <w:p w14:paraId="1B67473F" w14:textId="5A9A3B47" w:rsidR="002A1399" w:rsidRPr="002A1399" w:rsidRDefault="00000000" w:rsidP="002A1399">
      <w:pPr>
        <w:pStyle w:val="TOC2"/>
        <w:tabs>
          <w:tab w:val="right" w:leader="dot" w:pos="9345"/>
        </w:tabs>
        <w:spacing w:after="0"/>
        <w:rPr>
          <w:rFonts w:asciiTheme="minorHAnsi" w:eastAsiaTheme="minorEastAsia" w:hAnsiTheme="minorHAnsi" w:cstheme="minorBidi"/>
          <w:noProof/>
          <w:sz w:val="22"/>
          <w:lang w:eastAsia="en-GB"/>
        </w:rPr>
      </w:pPr>
      <w:hyperlink w:anchor="_Toc106207784" w:history="1">
        <w:r w:rsidR="002A1399" w:rsidRPr="002A1399">
          <w:rPr>
            <w:rStyle w:val="Hyperlink"/>
            <w:noProof/>
            <w:sz w:val="22"/>
          </w:rPr>
          <w:t>5.5. Processing of RM</w:t>
        </w:r>
        <w:r w:rsidR="002A1399" w:rsidRPr="002A1399">
          <w:rPr>
            <w:noProof/>
            <w:webHidden/>
            <w:sz w:val="22"/>
          </w:rPr>
          <w:tab/>
        </w:r>
        <w:r w:rsidR="002A1399" w:rsidRPr="002A1399">
          <w:rPr>
            <w:noProof/>
            <w:webHidden/>
            <w:sz w:val="22"/>
          </w:rPr>
          <w:fldChar w:fldCharType="begin"/>
        </w:r>
        <w:r w:rsidR="002A1399" w:rsidRPr="002A1399">
          <w:rPr>
            <w:noProof/>
            <w:webHidden/>
            <w:sz w:val="22"/>
          </w:rPr>
          <w:instrText xml:space="preserve"> PAGEREF _Toc106207784 \h </w:instrText>
        </w:r>
        <w:r w:rsidR="002A1399" w:rsidRPr="002A1399">
          <w:rPr>
            <w:noProof/>
            <w:webHidden/>
            <w:sz w:val="22"/>
          </w:rPr>
        </w:r>
        <w:r w:rsidR="002A1399" w:rsidRPr="002A1399">
          <w:rPr>
            <w:noProof/>
            <w:webHidden/>
            <w:sz w:val="22"/>
          </w:rPr>
          <w:fldChar w:fldCharType="separate"/>
        </w:r>
        <w:r w:rsidR="004F1077">
          <w:rPr>
            <w:noProof/>
            <w:webHidden/>
            <w:sz w:val="22"/>
          </w:rPr>
          <w:t>329</w:t>
        </w:r>
        <w:r w:rsidR="002A1399" w:rsidRPr="002A1399">
          <w:rPr>
            <w:noProof/>
            <w:webHidden/>
            <w:sz w:val="22"/>
          </w:rPr>
          <w:fldChar w:fldCharType="end"/>
        </w:r>
      </w:hyperlink>
    </w:p>
    <w:p w14:paraId="6424F847" w14:textId="795DC0EB" w:rsidR="002A1399" w:rsidRPr="002A1399" w:rsidRDefault="00000000" w:rsidP="002A1399">
      <w:pPr>
        <w:pStyle w:val="TOC2"/>
        <w:tabs>
          <w:tab w:val="right" w:leader="dot" w:pos="9345"/>
        </w:tabs>
        <w:spacing w:after="0"/>
        <w:rPr>
          <w:rFonts w:asciiTheme="minorHAnsi" w:eastAsiaTheme="minorEastAsia" w:hAnsiTheme="minorHAnsi" w:cstheme="minorBidi"/>
          <w:noProof/>
          <w:sz w:val="22"/>
          <w:lang w:eastAsia="en-GB"/>
        </w:rPr>
      </w:pPr>
      <w:hyperlink w:anchor="_Toc106207785" w:history="1">
        <w:r w:rsidR="002A1399" w:rsidRPr="002A1399">
          <w:rPr>
            <w:rStyle w:val="Hyperlink"/>
            <w:noProof/>
            <w:sz w:val="22"/>
          </w:rPr>
          <w:t>5.6. Packaging, labelling, distribution</w:t>
        </w:r>
        <w:r w:rsidR="002A1399" w:rsidRPr="002A1399">
          <w:rPr>
            <w:noProof/>
            <w:webHidden/>
            <w:sz w:val="22"/>
          </w:rPr>
          <w:tab/>
        </w:r>
        <w:r w:rsidR="002A1399" w:rsidRPr="002A1399">
          <w:rPr>
            <w:noProof/>
            <w:webHidden/>
            <w:sz w:val="22"/>
          </w:rPr>
          <w:fldChar w:fldCharType="begin"/>
        </w:r>
        <w:r w:rsidR="002A1399" w:rsidRPr="002A1399">
          <w:rPr>
            <w:noProof/>
            <w:webHidden/>
            <w:sz w:val="22"/>
          </w:rPr>
          <w:instrText xml:space="preserve"> PAGEREF _Toc106207785 \h </w:instrText>
        </w:r>
        <w:r w:rsidR="002A1399" w:rsidRPr="002A1399">
          <w:rPr>
            <w:noProof/>
            <w:webHidden/>
            <w:sz w:val="22"/>
          </w:rPr>
        </w:r>
        <w:r w:rsidR="002A1399" w:rsidRPr="002A1399">
          <w:rPr>
            <w:noProof/>
            <w:webHidden/>
            <w:sz w:val="22"/>
          </w:rPr>
          <w:fldChar w:fldCharType="separate"/>
        </w:r>
        <w:r w:rsidR="004F1077">
          <w:rPr>
            <w:noProof/>
            <w:webHidden/>
            <w:sz w:val="22"/>
          </w:rPr>
          <w:t>329</w:t>
        </w:r>
        <w:r w:rsidR="002A1399" w:rsidRPr="002A1399">
          <w:rPr>
            <w:noProof/>
            <w:webHidden/>
            <w:sz w:val="22"/>
          </w:rPr>
          <w:fldChar w:fldCharType="end"/>
        </w:r>
      </w:hyperlink>
    </w:p>
    <w:p w14:paraId="7955A510" w14:textId="65E76BAA" w:rsidR="002A1399" w:rsidRPr="002A1399" w:rsidRDefault="00000000" w:rsidP="002A1399">
      <w:pPr>
        <w:pStyle w:val="TOC2"/>
        <w:tabs>
          <w:tab w:val="right" w:leader="dot" w:pos="9345"/>
        </w:tabs>
        <w:spacing w:after="0"/>
        <w:rPr>
          <w:rFonts w:asciiTheme="minorHAnsi" w:eastAsiaTheme="minorEastAsia" w:hAnsiTheme="minorHAnsi" w:cstheme="minorBidi"/>
          <w:noProof/>
          <w:sz w:val="22"/>
          <w:lang w:eastAsia="en-GB"/>
        </w:rPr>
      </w:pPr>
      <w:hyperlink w:anchor="_Toc106207786" w:history="1">
        <w:r w:rsidR="002A1399" w:rsidRPr="002A1399">
          <w:rPr>
            <w:rStyle w:val="Hyperlink"/>
            <w:noProof/>
            <w:sz w:val="22"/>
          </w:rPr>
          <w:t>5.7. Homogeneity test and statistical treatment of homogeneity data</w:t>
        </w:r>
        <w:r w:rsidR="002A1399" w:rsidRPr="002A1399">
          <w:rPr>
            <w:noProof/>
            <w:webHidden/>
            <w:sz w:val="22"/>
          </w:rPr>
          <w:tab/>
        </w:r>
        <w:r w:rsidR="002A1399" w:rsidRPr="002A1399">
          <w:rPr>
            <w:noProof/>
            <w:webHidden/>
            <w:sz w:val="22"/>
          </w:rPr>
          <w:fldChar w:fldCharType="begin"/>
        </w:r>
        <w:r w:rsidR="002A1399" w:rsidRPr="002A1399">
          <w:rPr>
            <w:noProof/>
            <w:webHidden/>
            <w:sz w:val="22"/>
          </w:rPr>
          <w:instrText xml:space="preserve"> PAGEREF _Toc106207786 \h </w:instrText>
        </w:r>
        <w:r w:rsidR="002A1399" w:rsidRPr="002A1399">
          <w:rPr>
            <w:noProof/>
            <w:webHidden/>
            <w:sz w:val="22"/>
          </w:rPr>
        </w:r>
        <w:r w:rsidR="002A1399" w:rsidRPr="002A1399">
          <w:rPr>
            <w:noProof/>
            <w:webHidden/>
            <w:sz w:val="22"/>
          </w:rPr>
          <w:fldChar w:fldCharType="separate"/>
        </w:r>
        <w:r w:rsidR="004F1077">
          <w:rPr>
            <w:noProof/>
            <w:webHidden/>
            <w:sz w:val="22"/>
          </w:rPr>
          <w:t>329</w:t>
        </w:r>
        <w:r w:rsidR="002A1399" w:rsidRPr="002A1399">
          <w:rPr>
            <w:noProof/>
            <w:webHidden/>
            <w:sz w:val="22"/>
          </w:rPr>
          <w:fldChar w:fldCharType="end"/>
        </w:r>
      </w:hyperlink>
    </w:p>
    <w:p w14:paraId="65AA5EE1" w14:textId="5FDC46A6" w:rsidR="002A1399" w:rsidRPr="002A1399" w:rsidRDefault="00000000" w:rsidP="002A1399">
      <w:pPr>
        <w:pStyle w:val="TOC3"/>
        <w:rPr>
          <w:rFonts w:asciiTheme="minorHAnsi" w:eastAsiaTheme="minorEastAsia" w:hAnsiTheme="minorHAnsi" w:cstheme="minorBidi"/>
          <w:noProof/>
          <w:sz w:val="22"/>
          <w:lang w:eastAsia="en-GB"/>
        </w:rPr>
      </w:pPr>
      <w:hyperlink w:anchor="_Toc106207787" w:history="1">
        <w:r w:rsidR="002A1399" w:rsidRPr="002A1399">
          <w:rPr>
            <w:rStyle w:val="Hyperlink"/>
            <w:noProof/>
            <w:sz w:val="22"/>
          </w:rPr>
          <w:t>5.7.1. Within-unit homogeneity</w:t>
        </w:r>
        <w:r w:rsidR="002A1399" w:rsidRPr="002A1399">
          <w:rPr>
            <w:noProof/>
            <w:webHidden/>
            <w:sz w:val="22"/>
          </w:rPr>
          <w:tab/>
        </w:r>
        <w:r w:rsidR="002A1399" w:rsidRPr="002A1399">
          <w:rPr>
            <w:noProof/>
            <w:webHidden/>
            <w:sz w:val="22"/>
          </w:rPr>
          <w:fldChar w:fldCharType="begin"/>
        </w:r>
        <w:r w:rsidR="002A1399" w:rsidRPr="002A1399">
          <w:rPr>
            <w:noProof/>
            <w:webHidden/>
            <w:sz w:val="22"/>
          </w:rPr>
          <w:instrText xml:space="preserve"> PAGEREF _Toc106207787 \h </w:instrText>
        </w:r>
        <w:r w:rsidR="002A1399" w:rsidRPr="002A1399">
          <w:rPr>
            <w:noProof/>
            <w:webHidden/>
            <w:sz w:val="22"/>
          </w:rPr>
        </w:r>
        <w:r w:rsidR="002A1399" w:rsidRPr="002A1399">
          <w:rPr>
            <w:noProof/>
            <w:webHidden/>
            <w:sz w:val="22"/>
          </w:rPr>
          <w:fldChar w:fldCharType="separate"/>
        </w:r>
        <w:r w:rsidR="004F1077">
          <w:rPr>
            <w:noProof/>
            <w:webHidden/>
            <w:sz w:val="22"/>
          </w:rPr>
          <w:t>330</w:t>
        </w:r>
        <w:r w:rsidR="002A1399" w:rsidRPr="002A1399">
          <w:rPr>
            <w:noProof/>
            <w:webHidden/>
            <w:sz w:val="22"/>
          </w:rPr>
          <w:fldChar w:fldCharType="end"/>
        </w:r>
      </w:hyperlink>
    </w:p>
    <w:p w14:paraId="5406D88B" w14:textId="32DAF8E3" w:rsidR="002A1399" w:rsidRPr="002A1399" w:rsidRDefault="00000000" w:rsidP="002A1399">
      <w:pPr>
        <w:pStyle w:val="TOC2"/>
        <w:tabs>
          <w:tab w:val="right" w:leader="dot" w:pos="9345"/>
        </w:tabs>
        <w:spacing w:after="0"/>
        <w:rPr>
          <w:rFonts w:asciiTheme="minorHAnsi" w:eastAsiaTheme="minorEastAsia" w:hAnsiTheme="minorHAnsi" w:cstheme="minorBidi"/>
          <w:noProof/>
          <w:sz w:val="22"/>
          <w:lang w:eastAsia="en-GB"/>
        </w:rPr>
      </w:pPr>
      <w:hyperlink w:anchor="_Toc106207788" w:history="1">
        <w:r w:rsidR="002A1399" w:rsidRPr="002A1399">
          <w:rPr>
            <w:rStyle w:val="Hyperlink"/>
            <w:noProof/>
            <w:sz w:val="22"/>
          </w:rPr>
          <w:t>5.8. Stability test</w:t>
        </w:r>
        <w:r w:rsidR="002A1399" w:rsidRPr="002A1399">
          <w:rPr>
            <w:noProof/>
            <w:webHidden/>
            <w:sz w:val="22"/>
          </w:rPr>
          <w:tab/>
        </w:r>
        <w:r w:rsidR="002A1399" w:rsidRPr="002A1399">
          <w:rPr>
            <w:noProof/>
            <w:webHidden/>
            <w:sz w:val="22"/>
          </w:rPr>
          <w:fldChar w:fldCharType="begin"/>
        </w:r>
        <w:r w:rsidR="002A1399" w:rsidRPr="002A1399">
          <w:rPr>
            <w:noProof/>
            <w:webHidden/>
            <w:sz w:val="22"/>
          </w:rPr>
          <w:instrText xml:space="preserve"> PAGEREF _Toc106207788 \h </w:instrText>
        </w:r>
        <w:r w:rsidR="002A1399" w:rsidRPr="002A1399">
          <w:rPr>
            <w:noProof/>
            <w:webHidden/>
            <w:sz w:val="22"/>
          </w:rPr>
        </w:r>
        <w:r w:rsidR="002A1399" w:rsidRPr="002A1399">
          <w:rPr>
            <w:noProof/>
            <w:webHidden/>
            <w:sz w:val="22"/>
          </w:rPr>
          <w:fldChar w:fldCharType="separate"/>
        </w:r>
        <w:r w:rsidR="004F1077">
          <w:rPr>
            <w:noProof/>
            <w:webHidden/>
            <w:sz w:val="22"/>
          </w:rPr>
          <w:t>331</w:t>
        </w:r>
        <w:r w:rsidR="002A1399" w:rsidRPr="002A1399">
          <w:rPr>
            <w:noProof/>
            <w:webHidden/>
            <w:sz w:val="22"/>
          </w:rPr>
          <w:fldChar w:fldCharType="end"/>
        </w:r>
      </w:hyperlink>
    </w:p>
    <w:p w14:paraId="25AE4189" w14:textId="0AC811AC" w:rsidR="002A1399" w:rsidRPr="002A1399" w:rsidRDefault="00000000" w:rsidP="002A1399">
      <w:pPr>
        <w:pStyle w:val="TOC2"/>
        <w:tabs>
          <w:tab w:val="right" w:leader="dot" w:pos="9345"/>
        </w:tabs>
        <w:spacing w:after="0"/>
        <w:rPr>
          <w:rFonts w:asciiTheme="minorHAnsi" w:eastAsiaTheme="minorEastAsia" w:hAnsiTheme="minorHAnsi" w:cstheme="minorBidi"/>
          <w:noProof/>
          <w:sz w:val="22"/>
          <w:lang w:eastAsia="en-GB"/>
        </w:rPr>
      </w:pPr>
      <w:hyperlink w:anchor="_Toc106207789" w:history="1">
        <w:r w:rsidR="002A1399" w:rsidRPr="002A1399">
          <w:rPr>
            <w:rStyle w:val="Hyperlink"/>
            <w:noProof/>
            <w:sz w:val="22"/>
          </w:rPr>
          <w:t>5.9. Characterisation and value assignment</w:t>
        </w:r>
        <w:r w:rsidR="002A1399" w:rsidRPr="002A1399">
          <w:rPr>
            <w:noProof/>
            <w:webHidden/>
            <w:sz w:val="22"/>
          </w:rPr>
          <w:tab/>
        </w:r>
        <w:r w:rsidR="002A1399" w:rsidRPr="002A1399">
          <w:rPr>
            <w:noProof/>
            <w:webHidden/>
            <w:sz w:val="22"/>
          </w:rPr>
          <w:fldChar w:fldCharType="begin"/>
        </w:r>
        <w:r w:rsidR="002A1399" w:rsidRPr="002A1399">
          <w:rPr>
            <w:noProof/>
            <w:webHidden/>
            <w:sz w:val="22"/>
          </w:rPr>
          <w:instrText xml:space="preserve"> PAGEREF _Toc106207789 \h </w:instrText>
        </w:r>
        <w:r w:rsidR="002A1399" w:rsidRPr="002A1399">
          <w:rPr>
            <w:noProof/>
            <w:webHidden/>
            <w:sz w:val="22"/>
          </w:rPr>
        </w:r>
        <w:r w:rsidR="002A1399" w:rsidRPr="002A1399">
          <w:rPr>
            <w:noProof/>
            <w:webHidden/>
            <w:sz w:val="22"/>
          </w:rPr>
          <w:fldChar w:fldCharType="separate"/>
        </w:r>
        <w:r w:rsidR="004F1077">
          <w:rPr>
            <w:noProof/>
            <w:webHidden/>
            <w:sz w:val="22"/>
          </w:rPr>
          <w:t>331</w:t>
        </w:r>
        <w:r w:rsidR="002A1399" w:rsidRPr="002A1399">
          <w:rPr>
            <w:noProof/>
            <w:webHidden/>
            <w:sz w:val="22"/>
          </w:rPr>
          <w:fldChar w:fldCharType="end"/>
        </w:r>
      </w:hyperlink>
    </w:p>
    <w:p w14:paraId="2914F3F8" w14:textId="0A22AD44" w:rsidR="002A1399" w:rsidRPr="002A1399" w:rsidRDefault="00000000" w:rsidP="002A1399">
      <w:pPr>
        <w:pStyle w:val="TOC2"/>
        <w:tabs>
          <w:tab w:val="right" w:leader="dot" w:pos="9345"/>
        </w:tabs>
        <w:spacing w:after="0"/>
        <w:rPr>
          <w:rFonts w:asciiTheme="minorHAnsi" w:eastAsiaTheme="minorEastAsia" w:hAnsiTheme="minorHAnsi" w:cstheme="minorBidi"/>
          <w:noProof/>
          <w:sz w:val="22"/>
          <w:lang w:eastAsia="en-GB"/>
        </w:rPr>
      </w:pPr>
      <w:hyperlink w:anchor="_Toc106207790" w:history="1">
        <w:r w:rsidR="002A1399" w:rsidRPr="002A1399">
          <w:rPr>
            <w:rStyle w:val="Hyperlink"/>
            <w:rFonts w:eastAsia="Cambria"/>
            <w:noProof/>
            <w:sz w:val="22"/>
          </w:rPr>
          <w:t>5.10. Assigned uncertainty</w:t>
        </w:r>
        <w:r w:rsidR="002A1399" w:rsidRPr="002A1399">
          <w:rPr>
            <w:noProof/>
            <w:webHidden/>
            <w:sz w:val="22"/>
          </w:rPr>
          <w:tab/>
        </w:r>
        <w:r w:rsidR="002A1399" w:rsidRPr="002A1399">
          <w:rPr>
            <w:noProof/>
            <w:webHidden/>
            <w:sz w:val="22"/>
          </w:rPr>
          <w:fldChar w:fldCharType="begin"/>
        </w:r>
        <w:r w:rsidR="002A1399" w:rsidRPr="002A1399">
          <w:rPr>
            <w:noProof/>
            <w:webHidden/>
            <w:sz w:val="22"/>
          </w:rPr>
          <w:instrText xml:space="preserve"> PAGEREF _Toc106207790 \h </w:instrText>
        </w:r>
        <w:r w:rsidR="002A1399" w:rsidRPr="002A1399">
          <w:rPr>
            <w:noProof/>
            <w:webHidden/>
            <w:sz w:val="22"/>
          </w:rPr>
        </w:r>
        <w:r w:rsidR="002A1399" w:rsidRPr="002A1399">
          <w:rPr>
            <w:noProof/>
            <w:webHidden/>
            <w:sz w:val="22"/>
          </w:rPr>
          <w:fldChar w:fldCharType="separate"/>
        </w:r>
        <w:r w:rsidR="004F1077">
          <w:rPr>
            <w:noProof/>
            <w:webHidden/>
            <w:sz w:val="22"/>
          </w:rPr>
          <w:t>331</w:t>
        </w:r>
        <w:r w:rsidR="002A1399" w:rsidRPr="002A1399">
          <w:rPr>
            <w:noProof/>
            <w:webHidden/>
            <w:sz w:val="22"/>
          </w:rPr>
          <w:fldChar w:fldCharType="end"/>
        </w:r>
      </w:hyperlink>
    </w:p>
    <w:p w14:paraId="23E04AB6" w14:textId="7982E724" w:rsidR="002A1399" w:rsidRPr="002A1399" w:rsidRDefault="00000000" w:rsidP="002A1399">
      <w:pPr>
        <w:pStyle w:val="TOC2"/>
        <w:tabs>
          <w:tab w:val="right" w:leader="dot" w:pos="9345"/>
        </w:tabs>
        <w:spacing w:after="0"/>
        <w:rPr>
          <w:rFonts w:asciiTheme="minorHAnsi" w:eastAsiaTheme="minorEastAsia" w:hAnsiTheme="minorHAnsi" w:cstheme="minorBidi"/>
          <w:noProof/>
          <w:sz w:val="22"/>
          <w:lang w:eastAsia="en-GB"/>
        </w:rPr>
      </w:pPr>
      <w:hyperlink w:anchor="_Toc106207791" w:history="1">
        <w:r w:rsidR="002A1399" w:rsidRPr="002A1399">
          <w:rPr>
            <w:rStyle w:val="Hyperlink"/>
            <w:noProof/>
            <w:sz w:val="22"/>
          </w:rPr>
          <w:t>5.11. Documentation and information</w:t>
        </w:r>
        <w:r w:rsidR="002A1399" w:rsidRPr="002A1399">
          <w:rPr>
            <w:noProof/>
            <w:webHidden/>
            <w:sz w:val="22"/>
          </w:rPr>
          <w:tab/>
        </w:r>
        <w:r w:rsidR="002A1399" w:rsidRPr="002A1399">
          <w:rPr>
            <w:noProof/>
            <w:webHidden/>
            <w:sz w:val="22"/>
          </w:rPr>
          <w:fldChar w:fldCharType="begin"/>
        </w:r>
        <w:r w:rsidR="002A1399" w:rsidRPr="002A1399">
          <w:rPr>
            <w:noProof/>
            <w:webHidden/>
            <w:sz w:val="22"/>
          </w:rPr>
          <w:instrText xml:space="preserve"> PAGEREF _Toc106207791 \h </w:instrText>
        </w:r>
        <w:r w:rsidR="002A1399" w:rsidRPr="002A1399">
          <w:rPr>
            <w:noProof/>
            <w:webHidden/>
            <w:sz w:val="22"/>
          </w:rPr>
        </w:r>
        <w:r w:rsidR="002A1399" w:rsidRPr="002A1399">
          <w:rPr>
            <w:noProof/>
            <w:webHidden/>
            <w:sz w:val="22"/>
          </w:rPr>
          <w:fldChar w:fldCharType="separate"/>
        </w:r>
        <w:r w:rsidR="004F1077">
          <w:rPr>
            <w:noProof/>
            <w:webHidden/>
            <w:sz w:val="22"/>
          </w:rPr>
          <w:t>332</w:t>
        </w:r>
        <w:r w:rsidR="002A1399" w:rsidRPr="002A1399">
          <w:rPr>
            <w:noProof/>
            <w:webHidden/>
            <w:sz w:val="22"/>
          </w:rPr>
          <w:fldChar w:fldCharType="end"/>
        </w:r>
      </w:hyperlink>
    </w:p>
    <w:p w14:paraId="6E9EE4E2" w14:textId="0DDAD127" w:rsidR="002A1399" w:rsidRPr="002A1399" w:rsidRDefault="00000000" w:rsidP="002A1399">
      <w:pPr>
        <w:pStyle w:val="TOC3"/>
        <w:rPr>
          <w:rFonts w:asciiTheme="minorHAnsi" w:eastAsiaTheme="minorEastAsia" w:hAnsiTheme="minorHAnsi" w:cstheme="minorBidi"/>
          <w:noProof/>
          <w:sz w:val="22"/>
          <w:lang w:eastAsia="en-GB"/>
        </w:rPr>
      </w:pPr>
      <w:hyperlink w:anchor="_Toc106207792" w:history="1">
        <w:r w:rsidR="002A1399" w:rsidRPr="002A1399">
          <w:rPr>
            <w:rStyle w:val="Hyperlink"/>
            <w:noProof/>
            <w:sz w:val="22"/>
          </w:rPr>
          <w:t>5.11.1. Expiry date</w:t>
        </w:r>
        <w:r w:rsidR="002A1399" w:rsidRPr="002A1399">
          <w:rPr>
            <w:noProof/>
            <w:webHidden/>
            <w:sz w:val="22"/>
          </w:rPr>
          <w:tab/>
        </w:r>
        <w:r w:rsidR="002A1399" w:rsidRPr="002A1399">
          <w:rPr>
            <w:noProof/>
            <w:webHidden/>
            <w:sz w:val="22"/>
          </w:rPr>
          <w:fldChar w:fldCharType="begin"/>
        </w:r>
        <w:r w:rsidR="002A1399" w:rsidRPr="002A1399">
          <w:rPr>
            <w:noProof/>
            <w:webHidden/>
            <w:sz w:val="22"/>
          </w:rPr>
          <w:instrText xml:space="preserve"> PAGEREF _Toc106207792 \h </w:instrText>
        </w:r>
        <w:r w:rsidR="002A1399" w:rsidRPr="002A1399">
          <w:rPr>
            <w:noProof/>
            <w:webHidden/>
            <w:sz w:val="22"/>
          </w:rPr>
        </w:r>
        <w:r w:rsidR="002A1399" w:rsidRPr="002A1399">
          <w:rPr>
            <w:noProof/>
            <w:webHidden/>
            <w:sz w:val="22"/>
          </w:rPr>
          <w:fldChar w:fldCharType="separate"/>
        </w:r>
        <w:r w:rsidR="004F1077">
          <w:rPr>
            <w:noProof/>
            <w:webHidden/>
            <w:sz w:val="22"/>
          </w:rPr>
          <w:t>332</w:t>
        </w:r>
        <w:r w:rsidR="002A1399" w:rsidRPr="002A1399">
          <w:rPr>
            <w:noProof/>
            <w:webHidden/>
            <w:sz w:val="22"/>
          </w:rPr>
          <w:fldChar w:fldCharType="end"/>
        </w:r>
      </w:hyperlink>
    </w:p>
    <w:p w14:paraId="60BF97DA" w14:textId="0E3D3C81" w:rsidR="002A1399" w:rsidRPr="002A1399" w:rsidRDefault="00000000" w:rsidP="002A1399">
      <w:pPr>
        <w:pStyle w:val="TOC3"/>
        <w:rPr>
          <w:rFonts w:asciiTheme="minorHAnsi" w:eastAsiaTheme="minorEastAsia" w:hAnsiTheme="minorHAnsi" w:cstheme="minorBidi"/>
          <w:noProof/>
          <w:sz w:val="22"/>
          <w:lang w:eastAsia="en-GB"/>
        </w:rPr>
      </w:pPr>
      <w:hyperlink w:anchor="_Toc106207793" w:history="1">
        <w:r w:rsidR="002A1399" w:rsidRPr="002A1399">
          <w:rPr>
            <w:rStyle w:val="Hyperlink"/>
            <w:noProof/>
            <w:sz w:val="22"/>
          </w:rPr>
          <w:t>5.11.2. Storage and transportation of RM</w:t>
        </w:r>
        <w:r w:rsidR="002A1399" w:rsidRPr="002A1399">
          <w:rPr>
            <w:noProof/>
            <w:webHidden/>
            <w:sz w:val="22"/>
          </w:rPr>
          <w:tab/>
        </w:r>
        <w:r w:rsidR="002A1399" w:rsidRPr="002A1399">
          <w:rPr>
            <w:noProof/>
            <w:webHidden/>
            <w:sz w:val="22"/>
          </w:rPr>
          <w:fldChar w:fldCharType="begin"/>
        </w:r>
        <w:r w:rsidR="002A1399" w:rsidRPr="002A1399">
          <w:rPr>
            <w:noProof/>
            <w:webHidden/>
            <w:sz w:val="22"/>
          </w:rPr>
          <w:instrText xml:space="preserve"> PAGEREF _Toc106207793 \h </w:instrText>
        </w:r>
        <w:r w:rsidR="002A1399" w:rsidRPr="002A1399">
          <w:rPr>
            <w:noProof/>
            <w:webHidden/>
            <w:sz w:val="22"/>
          </w:rPr>
        </w:r>
        <w:r w:rsidR="002A1399" w:rsidRPr="002A1399">
          <w:rPr>
            <w:noProof/>
            <w:webHidden/>
            <w:sz w:val="22"/>
          </w:rPr>
          <w:fldChar w:fldCharType="separate"/>
        </w:r>
        <w:r w:rsidR="004F1077">
          <w:rPr>
            <w:noProof/>
            <w:webHidden/>
            <w:sz w:val="22"/>
          </w:rPr>
          <w:t>332</w:t>
        </w:r>
        <w:r w:rsidR="002A1399" w:rsidRPr="002A1399">
          <w:rPr>
            <w:noProof/>
            <w:webHidden/>
            <w:sz w:val="22"/>
          </w:rPr>
          <w:fldChar w:fldCharType="end"/>
        </w:r>
      </w:hyperlink>
    </w:p>
    <w:p w14:paraId="313179D0" w14:textId="5EC2B9F9" w:rsidR="002A1399" w:rsidRPr="002A1399" w:rsidRDefault="00000000" w:rsidP="002A1399">
      <w:pPr>
        <w:pStyle w:val="TOC3"/>
        <w:rPr>
          <w:rFonts w:asciiTheme="minorHAnsi" w:eastAsiaTheme="minorEastAsia" w:hAnsiTheme="minorHAnsi" w:cstheme="minorBidi"/>
          <w:noProof/>
          <w:sz w:val="22"/>
          <w:lang w:eastAsia="en-GB"/>
        </w:rPr>
      </w:pPr>
      <w:hyperlink w:anchor="_Toc106207794" w:history="1">
        <w:r w:rsidR="002A1399" w:rsidRPr="002A1399">
          <w:rPr>
            <w:rStyle w:val="Hyperlink"/>
            <w:rFonts w:eastAsia="Cambria"/>
            <w:noProof/>
            <w:sz w:val="22"/>
          </w:rPr>
          <w:t>5.11.3. Documentation and usage of RM</w:t>
        </w:r>
        <w:r w:rsidR="002A1399" w:rsidRPr="002A1399">
          <w:rPr>
            <w:noProof/>
            <w:webHidden/>
            <w:sz w:val="22"/>
          </w:rPr>
          <w:tab/>
        </w:r>
        <w:r w:rsidR="002A1399" w:rsidRPr="002A1399">
          <w:rPr>
            <w:noProof/>
            <w:webHidden/>
            <w:sz w:val="22"/>
          </w:rPr>
          <w:fldChar w:fldCharType="begin"/>
        </w:r>
        <w:r w:rsidR="002A1399" w:rsidRPr="002A1399">
          <w:rPr>
            <w:noProof/>
            <w:webHidden/>
            <w:sz w:val="22"/>
          </w:rPr>
          <w:instrText xml:space="preserve"> PAGEREF _Toc106207794 \h </w:instrText>
        </w:r>
        <w:r w:rsidR="002A1399" w:rsidRPr="002A1399">
          <w:rPr>
            <w:noProof/>
            <w:webHidden/>
            <w:sz w:val="22"/>
          </w:rPr>
        </w:r>
        <w:r w:rsidR="002A1399" w:rsidRPr="002A1399">
          <w:rPr>
            <w:noProof/>
            <w:webHidden/>
            <w:sz w:val="22"/>
          </w:rPr>
          <w:fldChar w:fldCharType="separate"/>
        </w:r>
        <w:r w:rsidR="004F1077">
          <w:rPr>
            <w:noProof/>
            <w:webHidden/>
            <w:sz w:val="22"/>
          </w:rPr>
          <w:t>332</w:t>
        </w:r>
        <w:r w:rsidR="002A1399" w:rsidRPr="002A1399">
          <w:rPr>
            <w:noProof/>
            <w:webHidden/>
            <w:sz w:val="22"/>
          </w:rPr>
          <w:fldChar w:fldCharType="end"/>
        </w:r>
      </w:hyperlink>
    </w:p>
    <w:p w14:paraId="521ADE74" w14:textId="2261319D" w:rsidR="002A1399" w:rsidRDefault="00000000" w:rsidP="002A1399">
      <w:pPr>
        <w:pStyle w:val="TOC2"/>
        <w:tabs>
          <w:tab w:val="right" w:leader="dot" w:pos="9345"/>
        </w:tabs>
        <w:spacing w:after="0"/>
        <w:rPr>
          <w:rFonts w:asciiTheme="minorHAnsi" w:eastAsiaTheme="minorEastAsia" w:hAnsiTheme="minorHAnsi" w:cstheme="minorBidi"/>
          <w:noProof/>
          <w:sz w:val="22"/>
          <w:lang w:eastAsia="en-GB"/>
        </w:rPr>
      </w:pPr>
      <w:hyperlink w:anchor="_Toc106207795" w:history="1">
        <w:r w:rsidR="002A1399" w:rsidRPr="002A1399">
          <w:rPr>
            <w:rStyle w:val="Hyperlink"/>
            <w:noProof/>
            <w:sz w:val="22"/>
          </w:rPr>
          <w:t>References</w:t>
        </w:r>
        <w:r w:rsidR="002A1399" w:rsidRPr="002A1399">
          <w:rPr>
            <w:noProof/>
            <w:webHidden/>
            <w:sz w:val="22"/>
          </w:rPr>
          <w:tab/>
        </w:r>
        <w:r w:rsidR="002A1399" w:rsidRPr="002A1399">
          <w:rPr>
            <w:noProof/>
            <w:webHidden/>
            <w:sz w:val="22"/>
          </w:rPr>
          <w:fldChar w:fldCharType="begin"/>
        </w:r>
        <w:r w:rsidR="002A1399" w:rsidRPr="002A1399">
          <w:rPr>
            <w:noProof/>
            <w:webHidden/>
            <w:sz w:val="22"/>
          </w:rPr>
          <w:instrText xml:space="preserve"> PAGEREF _Toc106207795 \h </w:instrText>
        </w:r>
        <w:r w:rsidR="002A1399" w:rsidRPr="002A1399">
          <w:rPr>
            <w:noProof/>
            <w:webHidden/>
            <w:sz w:val="22"/>
          </w:rPr>
        </w:r>
        <w:r w:rsidR="002A1399" w:rsidRPr="002A1399">
          <w:rPr>
            <w:noProof/>
            <w:webHidden/>
            <w:sz w:val="22"/>
          </w:rPr>
          <w:fldChar w:fldCharType="separate"/>
        </w:r>
        <w:r w:rsidR="004F1077">
          <w:rPr>
            <w:noProof/>
            <w:webHidden/>
            <w:sz w:val="22"/>
          </w:rPr>
          <w:t>333</w:t>
        </w:r>
        <w:r w:rsidR="002A1399" w:rsidRPr="002A1399">
          <w:rPr>
            <w:noProof/>
            <w:webHidden/>
            <w:sz w:val="22"/>
          </w:rPr>
          <w:fldChar w:fldCharType="end"/>
        </w:r>
      </w:hyperlink>
    </w:p>
    <w:p w14:paraId="74E6462F" w14:textId="6BD4E353" w:rsidR="009C2674" w:rsidRDefault="00237083" w:rsidP="00A311C2">
      <w:pPr>
        <w:spacing w:after="100"/>
      </w:pPr>
      <w:r>
        <w:fldChar w:fldCharType="end"/>
      </w:r>
    </w:p>
    <w:p w14:paraId="411F81BE" w14:textId="77777777" w:rsidR="009C2674" w:rsidRDefault="009C2674" w:rsidP="009C2674"/>
    <w:p w14:paraId="70C13BD9" w14:textId="77777777" w:rsidR="009C2674" w:rsidRDefault="009C2674" w:rsidP="009C2674"/>
    <w:p w14:paraId="4021EE44" w14:textId="77777777" w:rsidR="009C2674" w:rsidRDefault="009C2674" w:rsidP="009C2674"/>
    <w:p w14:paraId="70BE790C" w14:textId="77777777" w:rsidR="009C2674" w:rsidRDefault="009C2674" w:rsidP="009C2674"/>
    <w:p w14:paraId="5636B319" w14:textId="77777777" w:rsidR="006A056C" w:rsidRDefault="006A056C" w:rsidP="009C2674"/>
    <w:p w14:paraId="0B81BC19" w14:textId="77777777" w:rsidR="004B0069" w:rsidRDefault="004B0069" w:rsidP="009C2674"/>
    <w:p w14:paraId="0B19C1C9" w14:textId="77777777" w:rsidR="004B0069" w:rsidRDefault="004B0069" w:rsidP="009C2674"/>
    <w:p w14:paraId="762BE00F" w14:textId="77777777" w:rsidR="004B0069" w:rsidRDefault="004B0069" w:rsidP="009C2674"/>
    <w:p w14:paraId="0C3F8774" w14:textId="77777777" w:rsidR="004B0069" w:rsidRDefault="004B0069" w:rsidP="009C2674"/>
    <w:p w14:paraId="7C3C251C" w14:textId="77777777" w:rsidR="004B0069" w:rsidRDefault="004B0069" w:rsidP="009C2674"/>
    <w:p w14:paraId="2A689750" w14:textId="77777777" w:rsidR="004B0069" w:rsidRDefault="004B0069" w:rsidP="009C2674"/>
    <w:p w14:paraId="0981A086" w14:textId="77777777" w:rsidR="004B0069" w:rsidRDefault="004B0069" w:rsidP="009C2674"/>
    <w:p w14:paraId="4CF7DA98" w14:textId="77777777" w:rsidR="004B0069" w:rsidRDefault="004B0069" w:rsidP="009C2674"/>
    <w:p w14:paraId="5B89CF9C" w14:textId="77777777" w:rsidR="004B0069" w:rsidRDefault="004B0069" w:rsidP="009C2674"/>
    <w:p w14:paraId="50EE7E12" w14:textId="77777777" w:rsidR="004B0069" w:rsidRDefault="004B0069" w:rsidP="009C2674"/>
    <w:p w14:paraId="68674FAE" w14:textId="77777777" w:rsidR="004B0069" w:rsidRDefault="004B0069" w:rsidP="009C2674"/>
    <w:p w14:paraId="5E68A990" w14:textId="77777777" w:rsidR="004B0069" w:rsidRDefault="004B0069" w:rsidP="009C2674"/>
    <w:p w14:paraId="703DF3F8" w14:textId="77777777" w:rsidR="004B0069" w:rsidRDefault="004B0069" w:rsidP="009C2674"/>
    <w:p w14:paraId="13C55833" w14:textId="77777777" w:rsidR="004B0069" w:rsidRDefault="004B0069" w:rsidP="009C2674"/>
    <w:p w14:paraId="14D54D9C" w14:textId="77777777" w:rsidR="004B0069" w:rsidRDefault="004B0069" w:rsidP="009C2674"/>
    <w:p w14:paraId="560F0C2C" w14:textId="77777777" w:rsidR="004B0069" w:rsidRDefault="004B0069" w:rsidP="009C2674"/>
    <w:p w14:paraId="1A52DE29" w14:textId="77777777" w:rsidR="004B0069" w:rsidRDefault="004B0069" w:rsidP="009C2674"/>
    <w:p w14:paraId="78218D21" w14:textId="77777777" w:rsidR="004B0069" w:rsidRDefault="004B0069" w:rsidP="009C2674"/>
    <w:p w14:paraId="3A301AB5" w14:textId="77777777" w:rsidR="004B0069" w:rsidRDefault="004B0069" w:rsidP="009C2674"/>
    <w:p w14:paraId="627D64FF" w14:textId="77777777" w:rsidR="004B0069" w:rsidRDefault="004B0069" w:rsidP="009C2674"/>
    <w:p w14:paraId="7F988345" w14:textId="77777777" w:rsidR="004B0069" w:rsidRDefault="004B0069" w:rsidP="009C2674"/>
    <w:p w14:paraId="18F0D8D8" w14:textId="77777777" w:rsidR="004B0069" w:rsidRDefault="004B0069" w:rsidP="009C2674"/>
    <w:p w14:paraId="6ABB83CC" w14:textId="77777777" w:rsidR="004B0069" w:rsidRDefault="004B0069" w:rsidP="009C2674"/>
    <w:p w14:paraId="36BC2531" w14:textId="77777777" w:rsidR="004B0069" w:rsidRDefault="004B0069" w:rsidP="009C2674"/>
    <w:p w14:paraId="6AEB9AD8" w14:textId="77777777" w:rsidR="004B0069" w:rsidRDefault="004B0069" w:rsidP="009C2674"/>
    <w:p w14:paraId="6BA04CB3" w14:textId="77777777" w:rsidR="004B0069" w:rsidRDefault="004B0069" w:rsidP="009C2674"/>
    <w:p w14:paraId="7FAB4F28" w14:textId="77777777" w:rsidR="004B0069" w:rsidRDefault="004B0069" w:rsidP="009C2674"/>
    <w:p w14:paraId="6A08B388" w14:textId="77777777" w:rsidR="004B0069" w:rsidRDefault="004B0069" w:rsidP="009C2674"/>
    <w:p w14:paraId="6ADC47F0" w14:textId="77777777" w:rsidR="004B0069" w:rsidRDefault="004B0069" w:rsidP="009C2674"/>
    <w:p w14:paraId="1FC0B2BB" w14:textId="77777777" w:rsidR="004B0069" w:rsidRDefault="004B0069" w:rsidP="009C2674"/>
    <w:p w14:paraId="3E95832E" w14:textId="77777777" w:rsidR="004B0069" w:rsidRDefault="004B0069" w:rsidP="009C2674"/>
    <w:p w14:paraId="08D64DFC" w14:textId="77777777" w:rsidR="004B0069" w:rsidRDefault="004B0069" w:rsidP="009C2674"/>
    <w:p w14:paraId="207A80F5" w14:textId="77777777" w:rsidR="004B0069" w:rsidRDefault="004B0069" w:rsidP="009C2674"/>
    <w:p w14:paraId="16B20AA0" w14:textId="77777777" w:rsidR="004B0069" w:rsidRDefault="004B0069" w:rsidP="009C2674"/>
    <w:p w14:paraId="474E6AE0" w14:textId="77777777" w:rsidR="004B0069" w:rsidRDefault="004B0069" w:rsidP="009C2674"/>
    <w:p w14:paraId="2666E98B" w14:textId="77777777" w:rsidR="004B0069" w:rsidRDefault="004B0069" w:rsidP="009C2674"/>
    <w:p w14:paraId="551A4EFD" w14:textId="77777777" w:rsidR="004B0069" w:rsidRDefault="004B0069" w:rsidP="009C2674"/>
    <w:p w14:paraId="6D55236A" w14:textId="77777777" w:rsidR="004B0069" w:rsidRDefault="004B0069" w:rsidP="009C2674"/>
    <w:p w14:paraId="763C7BBC" w14:textId="77777777" w:rsidR="004B0069" w:rsidRDefault="004B0069" w:rsidP="009C2674"/>
    <w:p w14:paraId="0963E099" w14:textId="77777777" w:rsidR="004B0069" w:rsidRDefault="004B0069" w:rsidP="009C2674"/>
    <w:p w14:paraId="57AC0674" w14:textId="77777777" w:rsidR="004B0069" w:rsidRDefault="004B0069" w:rsidP="009C2674"/>
    <w:p w14:paraId="7D8064CE" w14:textId="77777777" w:rsidR="004B0069" w:rsidRDefault="004B0069" w:rsidP="009C2674"/>
    <w:p w14:paraId="41A83CC7" w14:textId="77777777" w:rsidR="004B0069" w:rsidRDefault="004B0069" w:rsidP="009C2674"/>
    <w:p w14:paraId="6E308791" w14:textId="77777777" w:rsidR="004B0069" w:rsidRDefault="004B0069" w:rsidP="009C2674"/>
    <w:p w14:paraId="56CDA762" w14:textId="77777777" w:rsidR="004B0069" w:rsidRDefault="004B0069" w:rsidP="009C2674"/>
    <w:p w14:paraId="2A9B2F0C" w14:textId="77777777" w:rsidR="004B0069" w:rsidRDefault="004B0069" w:rsidP="009C2674"/>
    <w:p w14:paraId="1E68AE09" w14:textId="77777777" w:rsidR="004B0069" w:rsidRDefault="004B0069" w:rsidP="009C2674"/>
    <w:p w14:paraId="30E95E78" w14:textId="77777777" w:rsidR="004B0069" w:rsidRDefault="004B0069" w:rsidP="009C2674"/>
    <w:p w14:paraId="03D9FB36" w14:textId="77777777" w:rsidR="004B0069" w:rsidRDefault="004B0069" w:rsidP="009C2674"/>
    <w:p w14:paraId="5C870362" w14:textId="77777777" w:rsidR="004B0069" w:rsidRDefault="004B0069" w:rsidP="009C2674"/>
    <w:p w14:paraId="4299AC5B" w14:textId="77777777" w:rsidR="004B0069" w:rsidRDefault="004B0069" w:rsidP="009C2674"/>
    <w:p w14:paraId="1C75EC2A" w14:textId="77777777" w:rsidR="004B0069" w:rsidRDefault="004B0069" w:rsidP="009C2674"/>
    <w:p w14:paraId="72F1B736" w14:textId="77777777" w:rsidR="004B0069" w:rsidRDefault="004B0069" w:rsidP="009C2674"/>
    <w:p w14:paraId="3E0E760C" w14:textId="77777777" w:rsidR="004B0069" w:rsidRDefault="004B0069" w:rsidP="009C2674"/>
    <w:p w14:paraId="4BD385B2" w14:textId="77777777" w:rsidR="004B0069" w:rsidRDefault="004B0069" w:rsidP="009C2674"/>
    <w:p w14:paraId="0CBCE79E" w14:textId="77777777" w:rsidR="004B0069" w:rsidRDefault="004B0069" w:rsidP="009C2674"/>
    <w:p w14:paraId="460E45BB" w14:textId="77777777" w:rsidR="004B0069" w:rsidRDefault="004B0069" w:rsidP="009C2674"/>
    <w:p w14:paraId="2C95ECA7" w14:textId="77777777" w:rsidR="004B0069" w:rsidRDefault="004B0069" w:rsidP="009C2674"/>
    <w:p w14:paraId="0EA494B8" w14:textId="77777777" w:rsidR="004B0069" w:rsidRDefault="004B0069" w:rsidP="009C2674"/>
    <w:p w14:paraId="5AEA0659" w14:textId="77777777" w:rsidR="004B0069" w:rsidRDefault="004B0069" w:rsidP="009C2674"/>
    <w:p w14:paraId="5F026450" w14:textId="77777777" w:rsidR="004B0069" w:rsidRDefault="004B0069" w:rsidP="009C2674"/>
    <w:p w14:paraId="79CF450C" w14:textId="77777777" w:rsidR="004B0069" w:rsidRDefault="004B0069" w:rsidP="009C2674"/>
    <w:p w14:paraId="1F98E475" w14:textId="77777777" w:rsidR="004B0069" w:rsidRDefault="004B0069" w:rsidP="009C2674"/>
    <w:p w14:paraId="47812329" w14:textId="77777777" w:rsidR="004B0069" w:rsidRDefault="004B0069" w:rsidP="009C2674"/>
    <w:p w14:paraId="402EC0C0" w14:textId="77777777" w:rsidR="004B0069" w:rsidRDefault="004B0069" w:rsidP="009C2674"/>
    <w:p w14:paraId="5CA54BF5" w14:textId="77777777" w:rsidR="004B0069" w:rsidRDefault="004B0069" w:rsidP="009C2674"/>
    <w:p w14:paraId="4C5FD769" w14:textId="62C22FC7" w:rsidR="004B0069" w:rsidRDefault="004B0069" w:rsidP="009C2674"/>
    <w:p w14:paraId="4EAFCA5F" w14:textId="48F379A0" w:rsidR="00451BC9" w:rsidRDefault="00451BC9" w:rsidP="009C2674"/>
    <w:p w14:paraId="3F8DC42B" w14:textId="3CAB85AE" w:rsidR="00451BC9" w:rsidRDefault="00451BC9" w:rsidP="009C2674"/>
    <w:p w14:paraId="090F7349" w14:textId="77777777" w:rsidR="002A1399" w:rsidRDefault="002A1399" w:rsidP="009C2674">
      <w:pPr>
        <w:rPr>
          <w:i/>
          <w:iCs/>
          <w:sz w:val="20"/>
          <w:szCs w:val="20"/>
        </w:rPr>
      </w:pPr>
    </w:p>
    <w:p w14:paraId="4A1A06BE" w14:textId="77777777" w:rsidR="002A1399" w:rsidRDefault="002A1399" w:rsidP="009C2674">
      <w:pPr>
        <w:rPr>
          <w:i/>
          <w:iCs/>
          <w:sz w:val="20"/>
          <w:szCs w:val="20"/>
        </w:rPr>
      </w:pPr>
    </w:p>
    <w:p w14:paraId="7CCBB257" w14:textId="77777777" w:rsidR="002A1399" w:rsidRDefault="002A1399" w:rsidP="009C2674">
      <w:pPr>
        <w:rPr>
          <w:i/>
          <w:iCs/>
          <w:sz w:val="20"/>
          <w:szCs w:val="20"/>
        </w:rPr>
      </w:pPr>
    </w:p>
    <w:p w14:paraId="79CC267F" w14:textId="77777777" w:rsidR="002A1399" w:rsidRDefault="002A1399" w:rsidP="009C2674">
      <w:pPr>
        <w:rPr>
          <w:i/>
          <w:iCs/>
          <w:sz w:val="20"/>
          <w:szCs w:val="20"/>
        </w:rPr>
      </w:pPr>
    </w:p>
    <w:p w14:paraId="6A1F3B1B" w14:textId="77777777" w:rsidR="002A1399" w:rsidRDefault="002A1399" w:rsidP="009C2674">
      <w:pPr>
        <w:rPr>
          <w:i/>
          <w:iCs/>
          <w:sz w:val="20"/>
          <w:szCs w:val="20"/>
        </w:rPr>
      </w:pPr>
    </w:p>
    <w:p w14:paraId="5CA82471" w14:textId="77777777" w:rsidR="002A1399" w:rsidRDefault="002A1399" w:rsidP="009C2674">
      <w:pPr>
        <w:rPr>
          <w:i/>
          <w:iCs/>
          <w:sz w:val="20"/>
          <w:szCs w:val="20"/>
        </w:rPr>
      </w:pPr>
    </w:p>
    <w:p w14:paraId="24259081" w14:textId="77777777" w:rsidR="002A1399" w:rsidRDefault="002A1399" w:rsidP="009C2674">
      <w:pPr>
        <w:rPr>
          <w:i/>
          <w:iCs/>
          <w:sz w:val="20"/>
          <w:szCs w:val="20"/>
        </w:rPr>
      </w:pPr>
    </w:p>
    <w:p w14:paraId="467553DA" w14:textId="77777777" w:rsidR="002A1399" w:rsidRDefault="002A1399" w:rsidP="009C2674">
      <w:pPr>
        <w:rPr>
          <w:i/>
          <w:iCs/>
          <w:sz w:val="20"/>
          <w:szCs w:val="20"/>
        </w:rPr>
      </w:pPr>
    </w:p>
    <w:p w14:paraId="19110E93" w14:textId="77777777" w:rsidR="002A1399" w:rsidRDefault="002A1399" w:rsidP="009C2674">
      <w:pPr>
        <w:rPr>
          <w:i/>
          <w:iCs/>
          <w:sz w:val="20"/>
          <w:szCs w:val="20"/>
        </w:rPr>
      </w:pPr>
    </w:p>
    <w:p w14:paraId="580223D0" w14:textId="77777777" w:rsidR="002A1399" w:rsidRDefault="002A1399" w:rsidP="009C2674">
      <w:pPr>
        <w:rPr>
          <w:i/>
          <w:iCs/>
          <w:sz w:val="20"/>
          <w:szCs w:val="20"/>
        </w:rPr>
      </w:pPr>
    </w:p>
    <w:p w14:paraId="1BDA6587" w14:textId="3E68DD64" w:rsidR="004B0069" w:rsidRPr="004B0069" w:rsidRDefault="004B0069" w:rsidP="009C2674">
      <w:pPr>
        <w:rPr>
          <w:i/>
          <w:iCs/>
          <w:sz w:val="20"/>
          <w:szCs w:val="20"/>
        </w:rPr>
      </w:pPr>
      <w:r w:rsidRPr="004B0069">
        <w:rPr>
          <w:i/>
          <w:iCs/>
          <w:sz w:val="20"/>
          <w:szCs w:val="20"/>
        </w:rPr>
        <w:t>Blank back page</w:t>
      </w:r>
    </w:p>
    <w:p w14:paraId="2475A3F1" w14:textId="77777777" w:rsidR="004B0069" w:rsidRDefault="004B0069" w:rsidP="009C2674"/>
    <w:p w14:paraId="501F1B5B" w14:textId="54F11C6F" w:rsidR="00845884" w:rsidRPr="000A0A6B" w:rsidRDefault="00D453C5" w:rsidP="00F73A06">
      <w:pPr>
        <w:pStyle w:val="Heading2"/>
      </w:pPr>
      <w:bookmarkStart w:id="2" w:name="_Toc106207779"/>
      <w:r>
        <w:lastRenderedPageBreak/>
        <w:t>5</w:t>
      </w:r>
      <w:r w:rsidR="0047565D" w:rsidRPr="0047565D">
        <w:t>.1. Introduction</w:t>
      </w:r>
      <w:bookmarkEnd w:id="2"/>
    </w:p>
    <w:p w14:paraId="546964D9" w14:textId="77777777" w:rsidR="004D59CB" w:rsidRPr="008070F2" w:rsidRDefault="004D59CB" w:rsidP="004D59CB">
      <w:pPr>
        <w:pStyle w:val="BodyText"/>
      </w:pPr>
      <w:r w:rsidRPr="008070F2">
        <w:t>Reference materials (RMs), whether Primary Reference Materials (PRMs) or Secondary Reference Materials (SRMs), are important tools in implementing several aspects of measurement quality of laboratory results, and are used for method validation, calibration, measurement uncertainty estimation, training, and for internal and external quality control purposes.</w:t>
      </w:r>
    </w:p>
    <w:p w14:paraId="6A4EBD29" w14:textId="05A19062" w:rsidR="004D59CB" w:rsidRPr="008070F2" w:rsidRDefault="004D59CB" w:rsidP="004D59CB">
      <w:pPr>
        <w:pStyle w:val="Paragraph"/>
      </w:pPr>
      <w:r w:rsidRPr="008070F2">
        <w:t xml:space="preserve"> Preparation of any reference material requires a thorough knowledge of the type of material and its properties</w:t>
      </w:r>
      <w:r w:rsidR="006366B5">
        <w:t>. Further, expertise in t</w:t>
      </w:r>
      <w:r w:rsidRPr="008070F2">
        <w:t xml:space="preserve">he selection of appropriate and sensitive methods for carrying out homogeneity tests, stability tests and material characterisation, and </w:t>
      </w:r>
      <w:r>
        <w:t>good command</w:t>
      </w:r>
      <w:r w:rsidRPr="008070F2">
        <w:t xml:space="preserve"> of the statistical methods necessary for the correct processing and interpretation of experimental data.</w:t>
      </w:r>
    </w:p>
    <w:p w14:paraId="69BBB00C" w14:textId="3B2379B1" w:rsidR="004D59CB" w:rsidRDefault="004D59CB" w:rsidP="004D59CB">
      <w:pPr>
        <w:pStyle w:val="Paragraph"/>
      </w:pPr>
      <w:r w:rsidRPr="008070F2">
        <w:t>The procedure for the preparation of a</w:t>
      </w:r>
      <w:r w:rsidR="00562A37">
        <w:t>n</w:t>
      </w:r>
      <w:r w:rsidRPr="008070F2">
        <w:t xml:space="preserve"> SRM for external quality control is similar to that for PRM</w:t>
      </w:r>
      <w:r w:rsidR="004A4A47">
        <w:t xml:space="preserve">. The difference between a PRM and an SRM is that the </w:t>
      </w:r>
      <w:r w:rsidR="00BB3ED4">
        <w:t xml:space="preserve">former is subject to rigorous </w:t>
      </w:r>
      <w:r w:rsidRPr="008070F2">
        <w:t>ring test</w:t>
      </w:r>
      <w:r w:rsidR="00BB3ED4">
        <w:t>ing</w:t>
      </w:r>
      <w:r w:rsidRPr="008070F2">
        <w:t xml:space="preserve"> for its certification.</w:t>
      </w:r>
    </w:p>
    <w:p w14:paraId="605DBA9D" w14:textId="77777777" w:rsidR="00C006F6" w:rsidRDefault="00C006F6" w:rsidP="004D59CB">
      <w:pPr>
        <w:pStyle w:val="Paragraph"/>
      </w:pPr>
      <w:r>
        <w:t xml:space="preserve">For the Global Geochemical </w:t>
      </w:r>
      <w:r w:rsidR="00CC455B">
        <w:t>Reference Network</w:t>
      </w:r>
      <w:r>
        <w:t xml:space="preserve"> project</w:t>
      </w:r>
      <w:r w:rsidR="00B85FD3">
        <w:t>,</w:t>
      </w:r>
      <w:r>
        <w:t xml:space="preserve"> the following Secondary Reference Materials should be prepared for each of the recommended sample media:</w:t>
      </w:r>
    </w:p>
    <w:p w14:paraId="06CCF55A" w14:textId="77777777" w:rsidR="00C006F6" w:rsidRDefault="00C006F6" w:rsidP="004D59CB">
      <w:pPr>
        <w:pStyle w:val="Paragraph"/>
      </w:pPr>
    </w:p>
    <w:p w14:paraId="7FED28C7" w14:textId="77777777" w:rsidR="00B22F10" w:rsidRDefault="00B22F10" w:rsidP="00C006F6">
      <w:pPr>
        <w:pStyle w:val="Paragraph"/>
        <w:numPr>
          <w:ilvl w:val="0"/>
          <w:numId w:val="28"/>
        </w:numPr>
      </w:pPr>
      <w:r>
        <w:t>Rock</w:t>
      </w:r>
    </w:p>
    <w:p w14:paraId="48424524" w14:textId="77777777" w:rsidR="00B22F10" w:rsidRDefault="00B22F10" w:rsidP="00C006F6">
      <w:pPr>
        <w:pStyle w:val="Paragraph"/>
        <w:numPr>
          <w:ilvl w:val="0"/>
          <w:numId w:val="28"/>
        </w:numPr>
      </w:pPr>
      <w:r>
        <w:t>Residual soil</w:t>
      </w:r>
    </w:p>
    <w:p w14:paraId="316350D1" w14:textId="77777777" w:rsidR="00C006F6" w:rsidRDefault="00C006F6" w:rsidP="00C006F6">
      <w:pPr>
        <w:pStyle w:val="Paragraph"/>
        <w:numPr>
          <w:ilvl w:val="0"/>
          <w:numId w:val="28"/>
        </w:numPr>
      </w:pPr>
      <w:r>
        <w:t>Stream sediment</w:t>
      </w:r>
    </w:p>
    <w:p w14:paraId="4A203A7E" w14:textId="77777777" w:rsidR="00C006F6" w:rsidRDefault="00C006F6" w:rsidP="00C006F6">
      <w:pPr>
        <w:pStyle w:val="Paragraph"/>
        <w:numPr>
          <w:ilvl w:val="0"/>
          <w:numId w:val="28"/>
        </w:numPr>
      </w:pPr>
      <w:r>
        <w:t>Overbank/Floodplain sediment</w:t>
      </w:r>
      <w:r w:rsidR="00B22F10">
        <w:t>, and</w:t>
      </w:r>
    </w:p>
    <w:p w14:paraId="5170C213" w14:textId="77777777" w:rsidR="00C006F6" w:rsidRDefault="00C006F6" w:rsidP="00C006F6">
      <w:pPr>
        <w:pStyle w:val="Paragraph"/>
        <w:numPr>
          <w:ilvl w:val="0"/>
          <w:numId w:val="28"/>
        </w:numPr>
      </w:pPr>
      <w:r>
        <w:t>Blank solid sample.</w:t>
      </w:r>
    </w:p>
    <w:p w14:paraId="6DD2259F" w14:textId="77777777" w:rsidR="00C006F6" w:rsidRDefault="00C006F6" w:rsidP="00C006F6">
      <w:pPr>
        <w:pStyle w:val="Paragraph"/>
      </w:pPr>
    </w:p>
    <w:p w14:paraId="31FA32FC" w14:textId="041DC945" w:rsidR="00C006F6" w:rsidRDefault="00C006F6" w:rsidP="00C006F6">
      <w:pPr>
        <w:pStyle w:val="Paragraph"/>
      </w:pPr>
      <w:r>
        <w:t xml:space="preserve">For </w:t>
      </w:r>
      <w:r w:rsidR="006366B5">
        <w:t xml:space="preserve">rock, residual soil, </w:t>
      </w:r>
      <w:r w:rsidR="008F4E03">
        <w:t>s</w:t>
      </w:r>
      <w:r>
        <w:t xml:space="preserve">tream sediment, </w:t>
      </w:r>
      <w:r w:rsidR="006366B5">
        <w:t xml:space="preserve">and </w:t>
      </w:r>
      <w:r>
        <w:t xml:space="preserve">overbank/floodplain sediment, </w:t>
      </w:r>
      <w:r w:rsidR="006366B5">
        <w:t xml:space="preserve">at least </w:t>
      </w:r>
      <w:r w:rsidR="008E72D3">
        <w:t>five</w:t>
      </w:r>
      <w:r>
        <w:t xml:space="preserve"> SRMs for each sample type </w:t>
      </w:r>
      <w:r w:rsidR="004E6A10">
        <w:t>must</w:t>
      </w:r>
      <w:r>
        <w:t xml:space="preserve"> be prepared with different </w:t>
      </w:r>
      <w:r w:rsidR="008F4E03">
        <w:t xml:space="preserve">major and </w:t>
      </w:r>
      <w:r>
        <w:t>trace element concentrations.</w:t>
      </w:r>
      <w:r w:rsidR="008F4E03">
        <w:t xml:space="preserve"> The </w:t>
      </w:r>
      <w:r w:rsidR="00633CE9">
        <w:t xml:space="preserve">two </w:t>
      </w:r>
      <w:r w:rsidR="008F4E03">
        <w:t>solid blank project reference sample</w:t>
      </w:r>
      <w:r w:rsidR="00CC455B">
        <w:t xml:space="preserve">s should be made </w:t>
      </w:r>
      <w:r w:rsidR="00B85FD3">
        <w:t xml:space="preserve">from fine-grained kaolin tailings from two different kaolin plants, and if possible, from two different countries </w:t>
      </w:r>
      <w:r w:rsidR="008F4E03">
        <w:t>(Schermann, 1990).</w:t>
      </w:r>
      <w:r w:rsidR="00B85FD3">
        <w:t xml:space="preserve"> Alternatives to kaolin are quartz (need to manage silicosis risk) or feldspar ‘wash’, or even corundum. </w:t>
      </w:r>
      <w:r w:rsidR="00BB3ED4">
        <w:t>T</w:t>
      </w:r>
      <w:r w:rsidR="00B85FD3">
        <w:t>he risk and cost/benefit analysis of these materials should</w:t>
      </w:r>
      <w:r w:rsidR="00BB3ED4">
        <w:t>, however,</w:t>
      </w:r>
      <w:r w:rsidR="00B85FD3">
        <w:t xml:space="preserve"> be considered.</w:t>
      </w:r>
    </w:p>
    <w:p w14:paraId="0DF06C3A" w14:textId="795BAACB" w:rsidR="00F264EB" w:rsidRPr="008070F2" w:rsidRDefault="00F264EB" w:rsidP="00C006F6">
      <w:pPr>
        <w:pStyle w:val="Paragraph"/>
      </w:pPr>
      <w:r>
        <w:t xml:space="preserve">The recommended minimum amount </w:t>
      </w:r>
      <w:r w:rsidR="00E56EE7">
        <w:t xml:space="preserve">for each SRM </w:t>
      </w:r>
      <w:r w:rsidR="004E6A10">
        <w:t>must</w:t>
      </w:r>
      <w:r w:rsidR="00E56EE7">
        <w:t xml:space="preserve"> be at least 1000 kg</w:t>
      </w:r>
      <w:r w:rsidR="00AB09BD">
        <w:t xml:space="preserve"> (refer to Chapters 8 &amp; 10)</w:t>
      </w:r>
      <w:r w:rsidR="00E56EE7">
        <w:t>.</w:t>
      </w:r>
    </w:p>
    <w:p w14:paraId="6682A883" w14:textId="6E96291F" w:rsidR="00B545FD" w:rsidRDefault="00D453C5" w:rsidP="00B85489">
      <w:pPr>
        <w:pStyle w:val="Heading3"/>
      </w:pPr>
      <w:bookmarkStart w:id="3" w:name="_Toc106207780"/>
      <w:r>
        <w:t>5</w:t>
      </w:r>
      <w:r w:rsidR="00B85489" w:rsidRPr="00B85489">
        <w:t>.</w:t>
      </w:r>
      <w:r w:rsidR="004D59CB">
        <w:t>1</w:t>
      </w:r>
      <w:r w:rsidR="00B85489" w:rsidRPr="00B85489">
        <w:t>.</w:t>
      </w:r>
      <w:r w:rsidR="00B85489">
        <w:t>1</w:t>
      </w:r>
      <w:r w:rsidR="00B85489" w:rsidRPr="00B85489">
        <w:t>. De</w:t>
      </w:r>
      <w:r w:rsidR="004D59CB">
        <w:t>finitions</w:t>
      </w:r>
      <w:bookmarkEnd w:id="3"/>
    </w:p>
    <w:p w14:paraId="3D87A7EB" w14:textId="35D9394C" w:rsidR="004D59CB" w:rsidRDefault="004D59CB" w:rsidP="004D59CB">
      <w:pPr>
        <w:pStyle w:val="BodyText"/>
      </w:pPr>
      <w:r w:rsidRPr="003C28C0">
        <w:t>The following definitions are according to ISO Guide 35 (</w:t>
      </w:r>
      <w:r w:rsidR="000F1E77">
        <w:t xml:space="preserve">ISO, </w:t>
      </w:r>
      <w:r w:rsidRPr="003C28C0">
        <w:t>2017</w:t>
      </w:r>
      <w:r w:rsidR="00B15FC6">
        <w:t>a</w:t>
      </w:r>
      <w:r w:rsidRPr="003C28C0">
        <w:t>, p.2)</w:t>
      </w:r>
      <w:r>
        <w:t>:</w:t>
      </w:r>
    </w:p>
    <w:p w14:paraId="1841C5A7" w14:textId="77777777" w:rsidR="004D59CB" w:rsidRPr="003C28C0" w:rsidRDefault="004D59CB" w:rsidP="004D59CB">
      <w:pPr>
        <w:pStyle w:val="BodyText"/>
      </w:pPr>
    </w:p>
    <w:p w14:paraId="2E4864FF" w14:textId="5D1D05EF" w:rsidR="004D59CB" w:rsidRPr="003C28C0" w:rsidRDefault="004D59CB" w:rsidP="004D59CB">
      <w:pPr>
        <w:rPr>
          <w:rFonts w:cs="Times New Roman"/>
          <w:szCs w:val="24"/>
        </w:rPr>
      </w:pPr>
      <w:r w:rsidRPr="004D59CB">
        <w:rPr>
          <w:rFonts w:cs="Times New Roman"/>
          <w:b/>
          <w:bCs/>
          <w:i/>
          <w:iCs/>
          <w:szCs w:val="24"/>
        </w:rPr>
        <w:t>Reference Material</w:t>
      </w:r>
      <w:r w:rsidRPr="003C28C0">
        <w:rPr>
          <w:rFonts w:cs="Times New Roman"/>
          <w:szCs w:val="24"/>
        </w:rPr>
        <w:t xml:space="preserve"> (</w:t>
      </w:r>
      <w:r w:rsidRPr="004D59CB">
        <w:rPr>
          <w:rFonts w:cs="Times New Roman"/>
          <w:b/>
          <w:bCs/>
          <w:szCs w:val="24"/>
        </w:rPr>
        <w:t>RM</w:t>
      </w:r>
      <w:r w:rsidRPr="003C28C0">
        <w:rPr>
          <w:rFonts w:cs="Times New Roman"/>
          <w:szCs w:val="24"/>
        </w:rPr>
        <w:t xml:space="preserve">): </w:t>
      </w:r>
      <w:r w:rsidRPr="003C28C0">
        <w:rPr>
          <w:rFonts w:cs="Times New Roman"/>
          <w:i/>
          <w:iCs/>
          <w:szCs w:val="24"/>
        </w:rPr>
        <w:t xml:space="preserve">Material, </w:t>
      </w:r>
      <w:r w:rsidR="009D3ECF">
        <w:rPr>
          <w:rFonts w:cs="Times New Roman"/>
          <w:i/>
          <w:iCs/>
          <w:szCs w:val="24"/>
        </w:rPr>
        <w:t xml:space="preserve">is </w:t>
      </w:r>
      <w:r w:rsidRPr="003C28C0">
        <w:rPr>
          <w:rFonts w:cs="Times New Roman"/>
          <w:i/>
          <w:iCs/>
          <w:szCs w:val="24"/>
        </w:rPr>
        <w:t>sufficiently homogeneous and stable with respect to one or more specified properties, which has been established to be fit for its intended use in a measurement process</w:t>
      </w:r>
      <w:r w:rsidRPr="003C28C0">
        <w:rPr>
          <w:rFonts w:cs="Times New Roman"/>
          <w:szCs w:val="24"/>
        </w:rPr>
        <w:t>.</w:t>
      </w:r>
    </w:p>
    <w:p w14:paraId="2A574F7F" w14:textId="06BA2BE3" w:rsidR="004D59CB" w:rsidRPr="003C28C0" w:rsidRDefault="004D59CB" w:rsidP="004D59CB">
      <w:pPr>
        <w:rPr>
          <w:rFonts w:cs="Times New Roman"/>
          <w:szCs w:val="24"/>
        </w:rPr>
      </w:pPr>
      <w:r w:rsidRPr="004D59CB">
        <w:rPr>
          <w:rFonts w:cs="Times New Roman"/>
          <w:b/>
          <w:bCs/>
          <w:i/>
          <w:iCs/>
          <w:szCs w:val="24"/>
        </w:rPr>
        <w:t>Certified Reference Material</w:t>
      </w:r>
      <w:r w:rsidRPr="003C28C0">
        <w:rPr>
          <w:rFonts w:cs="Times New Roman"/>
          <w:szCs w:val="24"/>
        </w:rPr>
        <w:t xml:space="preserve"> (</w:t>
      </w:r>
      <w:r w:rsidRPr="004D59CB">
        <w:rPr>
          <w:rFonts w:cs="Times New Roman"/>
          <w:b/>
          <w:bCs/>
          <w:szCs w:val="24"/>
        </w:rPr>
        <w:t>CRM</w:t>
      </w:r>
      <w:r w:rsidRPr="003C28C0">
        <w:rPr>
          <w:rFonts w:cs="Times New Roman"/>
          <w:szCs w:val="24"/>
        </w:rPr>
        <w:t xml:space="preserve">): </w:t>
      </w:r>
      <w:r w:rsidRPr="003C28C0">
        <w:rPr>
          <w:rFonts w:cs="Times New Roman"/>
          <w:i/>
          <w:iCs/>
          <w:szCs w:val="24"/>
        </w:rPr>
        <w:t>Reference Material characterised by a metrologically valid procedure for one or more specified properties, accompanied by an RM certificate that provides the value of the specified property, its associated uncertainty, and a statement of metrological traceability</w:t>
      </w:r>
      <w:r w:rsidRPr="003C28C0">
        <w:rPr>
          <w:rFonts w:cs="Times New Roman"/>
          <w:szCs w:val="24"/>
        </w:rPr>
        <w:t>.</w:t>
      </w:r>
    </w:p>
    <w:p w14:paraId="72919233" w14:textId="1BB99D8E" w:rsidR="004D59CB" w:rsidRDefault="004D59CB" w:rsidP="004D59CB">
      <w:pPr>
        <w:pStyle w:val="Paragraph"/>
      </w:pPr>
      <w:r w:rsidRPr="003C28C0">
        <w:t>In applied geochemistry</w:t>
      </w:r>
      <w:r>
        <w:t>,</w:t>
      </w:r>
      <w:r w:rsidRPr="003C28C0">
        <w:t xml:space="preserve"> the term </w:t>
      </w:r>
      <w:r w:rsidRPr="004D59CB">
        <w:rPr>
          <w:b/>
          <w:bCs/>
          <w:i/>
          <w:iCs/>
        </w:rPr>
        <w:t>Primary Reference Material</w:t>
      </w:r>
      <w:r w:rsidRPr="003C28C0">
        <w:t xml:space="preserve"> (PRM) is used and is </w:t>
      </w:r>
      <w:r>
        <w:t>synonymous</w:t>
      </w:r>
      <w:r w:rsidRPr="003C28C0">
        <w:t xml:space="preserve"> </w:t>
      </w:r>
      <w:r w:rsidR="00BB3ED4">
        <w:t>with</w:t>
      </w:r>
      <w:r w:rsidRPr="003C28C0">
        <w:t xml:space="preserve"> CRM</w:t>
      </w:r>
      <w:r>
        <w:t xml:space="preserve">, </w:t>
      </w:r>
      <w:r w:rsidR="000A101E" w:rsidRPr="000A101E">
        <w:rPr>
          <w:i/>
        </w:rPr>
        <w:t>i.e.</w:t>
      </w:r>
      <w:r>
        <w:t>, it is an internationally certified standard with recognised and accepted elemental concentrations (Johnson, 2011, p.64)</w:t>
      </w:r>
      <w:r w:rsidRPr="003C28C0">
        <w:t>.</w:t>
      </w:r>
    </w:p>
    <w:p w14:paraId="55A2B147" w14:textId="77777777" w:rsidR="004D59CB" w:rsidRPr="003C28C0" w:rsidRDefault="004D59CB" w:rsidP="004D59CB">
      <w:pPr>
        <w:pStyle w:val="Paragraph"/>
      </w:pPr>
    </w:p>
    <w:p w14:paraId="5D77C948" w14:textId="54F449E0" w:rsidR="008E28C5" w:rsidRDefault="004D59CB" w:rsidP="004D59CB">
      <w:pPr>
        <w:rPr>
          <w:rFonts w:cs="Times New Roman"/>
          <w:szCs w:val="24"/>
        </w:rPr>
      </w:pPr>
      <w:r w:rsidRPr="004D59CB">
        <w:rPr>
          <w:rFonts w:cs="Times New Roman"/>
          <w:b/>
          <w:bCs/>
          <w:szCs w:val="24"/>
        </w:rPr>
        <w:t>Secondary Reference Material</w:t>
      </w:r>
      <w:r w:rsidRPr="003C28C0">
        <w:rPr>
          <w:rFonts w:cs="Times New Roman"/>
          <w:szCs w:val="24"/>
        </w:rPr>
        <w:t xml:space="preserve"> (</w:t>
      </w:r>
      <w:r w:rsidRPr="004D59CB">
        <w:rPr>
          <w:rFonts w:cs="Times New Roman"/>
          <w:b/>
          <w:bCs/>
          <w:szCs w:val="24"/>
        </w:rPr>
        <w:t>SRM</w:t>
      </w:r>
      <w:r w:rsidRPr="003C28C0">
        <w:rPr>
          <w:rFonts w:cs="Times New Roman"/>
          <w:szCs w:val="24"/>
        </w:rPr>
        <w:t xml:space="preserve">): </w:t>
      </w:r>
      <w:r w:rsidR="00BB3ED4" w:rsidRPr="00BB3ED4">
        <w:rPr>
          <w:rFonts w:cs="Times New Roman"/>
          <w:i/>
          <w:iCs/>
          <w:szCs w:val="24"/>
        </w:rPr>
        <w:t>G</w:t>
      </w:r>
      <w:r w:rsidRPr="00DC016A">
        <w:rPr>
          <w:rFonts w:cs="Times New Roman"/>
          <w:i/>
          <w:iCs/>
          <w:szCs w:val="24"/>
        </w:rPr>
        <w:t>enerally</w:t>
      </w:r>
      <w:r w:rsidR="00BB3ED4">
        <w:rPr>
          <w:rFonts w:cs="Times New Roman"/>
          <w:i/>
          <w:iCs/>
          <w:szCs w:val="24"/>
        </w:rPr>
        <w:t>,</w:t>
      </w:r>
      <w:r w:rsidRPr="00DC016A">
        <w:rPr>
          <w:rFonts w:cs="Times New Roman"/>
          <w:i/>
          <w:iCs/>
          <w:szCs w:val="24"/>
        </w:rPr>
        <w:t xml:space="preserve"> an in-house reference sample, </w:t>
      </w:r>
      <w:r w:rsidR="009D3ECF">
        <w:rPr>
          <w:rFonts w:cs="Times New Roman"/>
          <w:i/>
          <w:iCs/>
          <w:szCs w:val="24"/>
        </w:rPr>
        <w:t xml:space="preserve">is </w:t>
      </w:r>
      <w:r w:rsidRPr="00DC016A">
        <w:rPr>
          <w:rFonts w:cs="Times New Roman"/>
          <w:i/>
          <w:iCs/>
          <w:szCs w:val="24"/>
        </w:rPr>
        <w:t>developed for internal use by projects, and is kept ‘blind’ to the analyst</w:t>
      </w:r>
      <w:r>
        <w:rPr>
          <w:rFonts w:cs="Times New Roman"/>
          <w:szCs w:val="24"/>
        </w:rPr>
        <w:t xml:space="preserve"> (Johnson, 2011, p.64)</w:t>
      </w:r>
      <w:r w:rsidR="00B16E66">
        <w:rPr>
          <w:rFonts w:cs="Times New Roman"/>
          <w:szCs w:val="24"/>
        </w:rPr>
        <w:t>. It is for ‘</w:t>
      </w:r>
      <w:r w:rsidR="00B16E66" w:rsidRPr="00CF2ACA">
        <w:rPr>
          <w:rFonts w:cs="Times New Roman"/>
          <w:i/>
          <w:iCs/>
          <w:szCs w:val="24"/>
        </w:rPr>
        <w:t>internal use</w:t>
      </w:r>
      <w:r w:rsidR="00B16E66">
        <w:rPr>
          <w:rFonts w:cs="Times New Roman"/>
          <w:szCs w:val="24"/>
        </w:rPr>
        <w:t xml:space="preserve">’ by the </w:t>
      </w:r>
      <w:proofErr w:type="gramStart"/>
      <w:r w:rsidR="00B16E66">
        <w:rPr>
          <w:rFonts w:cs="Times New Roman"/>
          <w:szCs w:val="24"/>
        </w:rPr>
        <w:t xml:space="preserve">project, </w:t>
      </w:r>
      <w:r w:rsidR="00CF2ACA">
        <w:rPr>
          <w:rFonts w:cs="Times New Roman"/>
          <w:szCs w:val="24"/>
        </w:rPr>
        <w:t>and</w:t>
      </w:r>
      <w:proofErr w:type="gramEnd"/>
      <w:r w:rsidR="00CF2ACA">
        <w:rPr>
          <w:rFonts w:cs="Times New Roman"/>
          <w:szCs w:val="24"/>
        </w:rPr>
        <w:t xml:space="preserve"> </w:t>
      </w:r>
      <w:r w:rsidR="00B16E66">
        <w:rPr>
          <w:rFonts w:cs="Times New Roman"/>
          <w:szCs w:val="24"/>
        </w:rPr>
        <w:t xml:space="preserve">is </w:t>
      </w:r>
      <w:r>
        <w:rPr>
          <w:rFonts w:cs="Times New Roman"/>
          <w:szCs w:val="24"/>
        </w:rPr>
        <w:t>referred to as</w:t>
      </w:r>
      <w:r w:rsidR="00B16E66">
        <w:rPr>
          <w:rFonts w:cs="Times New Roman"/>
          <w:szCs w:val="24"/>
        </w:rPr>
        <w:t xml:space="preserve"> an</w:t>
      </w:r>
      <w:r>
        <w:rPr>
          <w:rFonts w:cs="Times New Roman"/>
          <w:szCs w:val="24"/>
        </w:rPr>
        <w:t xml:space="preserve"> ‘</w:t>
      </w:r>
      <w:r w:rsidRPr="006E69C2">
        <w:rPr>
          <w:rFonts w:cs="Times New Roman"/>
          <w:i/>
          <w:iCs/>
          <w:szCs w:val="24"/>
        </w:rPr>
        <w:t>external</w:t>
      </w:r>
      <w:r>
        <w:rPr>
          <w:rFonts w:cs="Times New Roman"/>
          <w:szCs w:val="24"/>
        </w:rPr>
        <w:t xml:space="preserve">’ </w:t>
      </w:r>
      <w:r w:rsidR="00B16E66">
        <w:rPr>
          <w:rFonts w:cs="Times New Roman"/>
          <w:szCs w:val="24"/>
        </w:rPr>
        <w:t xml:space="preserve">reference </w:t>
      </w:r>
      <w:r w:rsidR="00CF2ACA">
        <w:rPr>
          <w:rFonts w:cs="Times New Roman"/>
          <w:szCs w:val="24"/>
        </w:rPr>
        <w:t>material</w:t>
      </w:r>
      <w:r w:rsidR="00B16E66">
        <w:rPr>
          <w:rFonts w:cs="Times New Roman"/>
          <w:szCs w:val="24"/>
        </w:rPr>
        <w:t xml:space="preserve"> </w:t>
      </w:r>
      <w:r w:rsidR="006E69C2">
        <w:rPr>
          <w:rFonts w:cs="Times New Roman"/>
          <w:szCs w:val="24"/>
        </w:rPr>
        <w:t>because it is used by the applied geochemist</w:t>
      </w:r>
      <w:r w:rsidR="00B16E66">
        <w:rPr>
          <w:rFonts w:cs="Times New Roman"/>
          <w:szCs w:val="24"/>
        </w:rPr>
        <w:t xml:space="preserve"> </w:t>
      </w:r>
      <w:r w:rsidR="00CF2ACA">
        <w:rPr>
          <w:rFonts w:cs="Times New Roman"/>
          <w:szCs w:val="24"/>
        </w:rPr>
        <w:t xml:space="preserve">to assess the quality of the analytical results generated by the </w:t>
      </w:r>
      <w:r w:rsidR="00CF2ACA">
        <w:rPr>
          <w:rFonts w:cs="Times New Roman"/>
          <w:szCs w:val="24"/>
        </w:rPr>
        <w:lastRenderedPageBreak/>
        <w:t xml:space="preserve">laboratory, and it </w:t>
      </w:r>
      <w:r w:rsidR="00880DE2">
        <w:rPr>
          <w:rFonts w:cs="Times New Roman"/>
          <w:szCs w:val="24"/>
        </w:rPr>
        <w:t xml:space="preserve">is </w:t>
      </w:r>
      <w:r w:rsidR="00CF2ACA">
        <w:rPr>
          <w:rFonts w:cs="Times New Roman"/>
          <w:szCs w:val="24"/>
        </w:rPr>
        <w:t>kept ‘</w:t>
      </w:r>
      <w:r w:rsidR="00CF2ACA" w:rsidRPr="00CF2ACA">
        <w:rPr>
          <w:rFonts w:cs="Times New Roman"/>
          <w:i/>
          <w:iCs/>
          <w:szCs w:val="24"/>
        </w:rPr>
        <w:t>blind</w:t>
      </w:r>
      <w:r w:rsidR="00CF2ACA">
        <w:rPr>
          <w:rFonts w:cs="Times New Roman"/>
          <w:szCs w:val="24"/>
        </w:rPr>
        <w:t>’ to the analyst.</w:t>
      </w:r>
      <w:r>
        <w:rPr>
          <w:rFonts w:cs="Times New Roman"/>
          <w:szCs w:val="24"/>
        </w:rPr>
        <w:t xml:space="preserve"> </w:t>
      </w:r>
      <w:r w:rsidR="00054025">
        <w:rPr>
          <w:rFonts w:cs="Times New Roman"/>
          <w:szCs w:val="24"/>
        </w:rPr>
        <w:t xml:space="preserve">Laboratories usually have their </w:t>
      </w:r>
      <w:r w:rsidR="00996B68">
        <w:rPr>
          <w:rFonts w:cs="Times New Roman"/>
          <w:szCs w:val="24"/>
        </w:rPr>
        <w:t xml:space="preserve">own </w:t>
      </w:r>
      <w:r w:rsidR="00054025">
        <w:rPr>
          <w:rFonts w:cs="Times New Roman"/>
          <w:szCs w:val="24"/>
        </w:rPr>
        <w:t xml:space="preserve">in-house secondary reference materials (Thompson </w:t>
      </w:r>
      <w:r w:rsidR="00054025" w:rsidRPr="00054025">
        <w:rPr>
          <w:rFonts w:cs="Times New Roman"/>
          <w:i/>
          <w:iCs/>
          <w:szCs w:val="24"/>
        </w:rPr>
        <w:t>et al</w:t>
      </w:r>
      <w:r w:rsidR="00054025">
        <w:rPr>
          <w:rFonts w:cs="Times New Roman"/>
          <w:szCs w:val="24"/>
        </w:rPr>
        <w:t xml:space="preserve">., 2006; ISO, 2014; </w:t>
      </w:r>
      <w:bookmarkStart w:id="4" w:name="_Hlk94455401"/>
      <w:r w:rsidR="00054025">
        <w:rPr>
          <w:rFonts w:cs="Times New Roman"/>
          <w:szCs w:val="24"/>
        </w:rPr>
        <w:t>Gowing and Hayr, 2020).</w:t>
      </w:r>
    </w:p>
    <w:p w14:paraId="4166CE0A" w14:textId="5592B004" w:rsidR="00F817A9" w:rsidRDefault="00D453C5" w:rsidP="00F817A9">
      <w:pPr>
        <w:pStyle w:val="Heading2"/>
      </w:pPr>
      <w:bookmarkStart w:id="5" w:name="_Toc106207781"/>
      <w:r>
        <w:t>5</w:t>
      </w:r>
      <w:r w:rsidR="00F817A9" w:rsidRPr="00F4380B">
        <w:t>.</w:t>
      </w:r>
      <w:r w:rsidR="008E28C5">
        <w:t>2</w:t>
      </w:r>
      <w:r w:rsidR="00F817A9" w:rsidRPr="00F4380B">
        <w:t xml:space="preserve">. </w:t>
      </w:r>
      <w:r w:rsidR="008E28C5">
        <w:t>Planning preparation of Reference Materials</w:t>
      </w:r>
      <w:bookmarkEnd w:id="5"/>
    </w:p>
    <w:bookmarkEnd w:id="4"/>
    <w:p w14:paraId="1FFB1D1E" w14:textId="680035B5" w:rsidR="008E28C5" w:rsidRDefault="008E28C5" w:rsidP="008E28C5">
      <w:pPr>
        <w:pStyle w:val="BodyText"/>
        <w:rPr>
          <w:rStyle w:val="tlid-translation"/>
        </w:rPr>
      </w:pPr>
      <w:r w:rsidRPr="00665747">
        <w:rPr>
          <w:rStyle w:val="tlid-translation"/>
        </w:rPr>
        <w:t>Detailed planning of each activity is needed to prepare the RM.</w:t>
      </w:r>
      <w:r w:rsidRPr="00665747">
        <w:t xml:space="preserve"> </w:t>
      </w:r>
      <w:r w:rsidRPr="00665747">
        <w:rPr>
          <w:rStyle w:val="tlid-translation"/>
        </w:rPr>
        <w:t xml:space="preserve">The preparation project begins by defining the RM type. A key criterion in the selection and specification of </w:t>
      </w:r>
      <w:r w:rsidR="00D805DB">
        <w:rPr>
          <w:rStyle w:val="tlid-translation"/>
        </w:rPr>
        <w:t xml:space="preserve">an </w:t>
      </w:r>
      <w:r w:rsidRPr="00665747">
        <w:rPr>
          <w:rStyle w:val="tlid-translation"/>
        </w:rPr>
        <w:t>RM is that its chemical and mineralogical composition should be as close as possible to the actual samples to be analysed in the project</w:t>
      </w:r>
      <w:r w:rsidR="00D805DB">
        <w:rPr>
          <w:rStyle w:val="tlid-translation"/>
        </w:rPr>
        <w:t xml:space="preserve">, as well as </w:t>
      </w:r>
      <w:r w:rsidR="009D3ECF">
        <w:rPr>
          <w:rStyle w:val="tlid-translation"/>
        </w:rPr>
        <w:t xml:space="preserve">to </w:t>
      </w:r>
      <w:r w:rsidR="00D805DB">
        <w:rPr>
          <w:rStyle w:val="tlid-translation"/>
        </w:rPr>
        <w:t xml:space="preserve">be </w:t>
      </w:r>
      <w:r w:rsidRPr="00665747">
        <w:rPr>
          <w:rStyle w:val="tlid-translation"/>
        </w:rPr>
        <w:t xml:space="preserve">available in </w:t>
      </w:r>
      <w:r>
        <w:rPr>
          <w:rStyle w:val="tlid-translation"/>
        </w:rPr>
        <w:t>a sufficient</w:t>
      </w:r>
      <w:r w:rsidRPr="00665747">
        <w:rPr>
          <w:rStyle w:val="tlid-translation"/>
        </w:rPr>
        <w:t xml:space="preserve"> quantity. Knowledge of the analytical procedures commonly used in </w:t>
      </w:r>
      <w:r w:rsidR="004227E0">
        <w:rPr>
          <w:rStyle w:val="tlid-translation"/>
        </w:rPr>
        <w:t xml:space="preserve">the </w:t>
      </w:r>
      <w:r w:rsidRPr="00665747">
        <w:rPr>
          <w:rStyle w:val="tlid-translation"/>
        </w:rPr>
        <w:t>analys</w:t>
      </w:r>
      <w:r w:rsidR="004227E0">
        <w:rPr>
          <w:rStyle w:val="tlid-translation"/>
        </w:rPr>
        <w:t>i</w:t>
      </w:r>
      <w:r w:rsidRPr="00665747">
        <w:rPr>
          <w:rStyle w:val="tlid-translation"/>
        </w:rPr>
        <w:t>s of th</w:t>
      </w:r>
      <w:r w:rsidR="004227E0">
        <w:rPr>
          <w:rStyle w:val="tlid-translation"/>
        </w:rPr>
        <w:t xml:space="preserve">ese </w:t>
      </w:r>
      <w:r w:rsidRPr="00665747">
        <w:rPr>
          <w:rStyle w:val="tlid-translation"/>
        </w:rPr>
        <w:t>sample</w:t>
      </w:r>
      <w:r w:rsidR="004227E0">
        <w:rPr>
          <w:rStyle w:val="tlid-translation"/>
        </w:rPr>
        <w:t xml:space="preserve"> type</w:t>
      </w:r>
      <w:r w:rsidRPr="00665747">
        <w:rPr>
          <w:rStyle w:val="tlid-translation"/>
        </w:rPr>
        <w:t xml:space="preserve">s is required. The RM (bottles) being prepared should </w:t>
      </w:r>
      <w:r>
        <w:rPr>
          <w:rStyle w:val="tlid-translation"/>
        </w:rPr>
        <w:t>contain</w:t>
      </w:r>
      <w:r w:rsidRPr="00665747">
        <w:rPr>
          <w:rStyle w:val="tlid-translation"/>
        </w:rPr>
        <w:t xml:space="preserve"> </w:t>
      </w:r>
      <w:r w:rsidR="00EC7FBE">
        <w:rPr>
          <w:rStyle w:val="tlid-translation"/>
        </w:rPr>
        <w:t xml:space="preserve">a </w:t>
      </w:r>
      <w:r w:rsidRPr="00665747">
        <w:rPr>
          <w:rStyle w:val="tlid-translation"/>
        </w:rPr>
        <w:t>sufficient amount of material for single and</w:t>
      </w:r>
      <w:r w:rsidR="0064709C">
        <w:rPr>
          <w:rStyle w:val="tlid-translation"/>
        </w:rPr>
        <w:t>/or</w:t>
      </w:r>
      <w:r w:rsidRPr="00665747">
        <w:rPr>
          <w:rStyle w:val="tlid-translation"/>
        </w:rPr>
        <w:t xml:space="preserve"> multiple measurements.</w:t>
      </w:r>
    </w:p>
    <w:p w14:paraId="7F98C64F" w14:textId="77777777" w:rsidR="008E28C5" w:rsidRPr="00665747" w:rsidRDefault="008E28C5" w:rsidP="008E28C5">
      <w:pPr>
        <w:pStyle w:val="BodyText"/>
        <w:rPr>
          <w:rStyle w:val="tlid-translation"/>
        </w:rPr>
      </w:pPr>
    </w:p>
    <w:p w14:paraId="22FCD0AB" w14:textId="77777777" w:rsidR="008E28C5" w:rsidRDefault="008E28C5" w:rsidP="008E28C5">
      <w:pPr>
        <w:pStyle w:val="Paragraph"/>
      </w:pPr>
      <w:r w:rsidRPr="00665747">
        <w:t>Key steps in RM preparation</w:t>
      </w:r>
      <w:r>
        <w:t xml:space="preserve"> are</w:t>
      </w:r>
      <w:r w:rsidRPr="00665747">
        <w:t>:</w:t>
      </w:r>
    </w:p>
    <w:p w14:paraId="57DDEF49" w14:textId="77777777" w:rsidR="008E28C5" w:rsidRPr="00665747" w:rsidRDefault="008E28C5" w:rsidP="008E28C5">
      <w:pPr>
        <w:pStyle w:val="Paragraph"/>
        <w:rPr>
          <w:rStyle w:val="tlid-translation"/>
          <w:rFonts w:eastAsia="Cambria"/>
        </w:rPr>
      </w:pPr>
    </w:p>
    <w:p w14:paraId="7831A213" w14:textId="77777777" w:rsidR="008E28C5" w:rsidRPr="00665747" w:rsidRDefault="008E28C5" w:rsidP="008E28C5">
      <w:pPr>
        <w:pStyle w:val="ListParagraph"/>
        <w:numPr>
          <w:ilvl w:val="0"/>
          <w:numId w:val="16"/>
        </w:numPr>
        <w:ind w:left="2268"/>
        <w:rPr>
          <w:rFonts w:cs="Times New Roman"/>
          <w:szCs w:val="24"/>
        </w:rPr>
      </w:pPr>
      <w:r w:rsidRPr="00665747">
        <w:rPr>
          <w:rFonts w:cs="Times New Roman"/>
          <w:szCs w:val="24"/>
        </w:rPr>
        <w:t>Material specification</w:t>
      </w:r>
    </w:p>
    <w:p w14:paraId="2323BBF3" w14:textId="77777777" w:rsidR="008E28C5" w:rsidRPr="00665747" w:rsidRDefault="008E28C5" w:rsidP="008E28C5">
      <w:pPr>
        <w:pStyle w:val="ListParagraph"/>
        <w:numPr>
          <w:ilvl w:val="0"/>
          <w:numId w:val="16"/>
        </w:numPr>
        <w:ind w:left="2268"/>
        <w:rPr>
          <w:rFonts w:cs="Times New Roman"/>
          <w:szCs w:val="24"/>
        </w:rPr>
      </w:pPr>
      <w:r w:rsidRPr="00665747">
        <w:rPr>
          <w:rFonts w:cs="Times New Roman"/>
          <w:szCs w:val="24"/>
        </w:rPr>
        <w:t xml:space="preserve">Material </w:t>
      </w:r>
      <w:r>
        <w:rPr>
          <w:rFonts w:cs="Times New Roman"/>
          <w:szCs w:val="24"/>
        </w:rPr>
        <w:t>acquisition</w:t>
      </w:r>
    </w:p>
    <w:p w14:paraId="2CEE154C" w14:textId="77777777" w:rsidR="008E28C5" w:rsidRPr="00665747" w:rsidRDefault="008E28C5" w:rsidP="008E28C5">
      <w:pPr>
        <w:pStyle w:val="ListParagraph"/>
        <w:numPr>
          <w:ilvl w:val="0"/>
          <w:numId w:val="16"/>
        </w:numPr>
        <w:ind w:left="2268"/>
        <w:rPr>
          <w:rFonts w:cs="Times New Roman"/>
          <w:szCs w:val="24"/>
        </w:rPr>
      </w:pPr>
      <w:r w:rsidRPr="00665747">
        <w:rPr>
          <w:rFonts w:cs="Times New Roman"/>
          <w:szCs w:val="24"/>
        </w:rPr>
        <w:t xml:space="preserve">Material </w:t>
      </w:r>
      <w:r>
        <w:rPr>
          <w:rFonts w:cs="Times New Roman"/>
          <w:szCs w:val="24"/>
        </w:rPr>
        <w:t>p</w:t>
      </w:r>
      <w:r w:rsidRPr="00665747">
        <w:rPr>
          <w:rFonts w:cs="Times New Roman"/>
          <w:szCs w:val="24"/>
        </w:rPr>
        <w:t>rocessing</w:t>
      </w:r>
    </w:p>
    <w:p w14:paraId="44B3CB0B" w14:textId="77777777" w:rsidR="008E28C5" w:rsidRPr="00665747" w:rsidRDefault="008E28C5" w:rsidP="008E28C5">
      <w:pPr>
        <w:pStyle w:val="ListParagraph"/>
        <w:numPr>
          <w:ilvl w:val="0"/>
          <w:numId w:val="16"/>
        </w:numPr>
        <w:ind w:left="2268"/>
        <w:rPr>
          <w:rFonts w:cs="Times New Roman"/>
          <w:szCs w:val="24"/>
        </w:rPr>
      </w:pPr>
      <w:r>
        <w:rPr>
          <w:rFonts w:cs="Times New Roman"/>
          <w:szCs w:val="24"/>
        </w:rPr>
        <w:t>Homogenisation, s</w:t>
      </w:r>
      <w:r w:rsidRPr="00665747">
        <w:rPr>
          <w:rFonts w:cs="Times New Roman"/>
          <w:szCs w:val="24"/>
        </w:rPr>
        <w:t xml:space="preserve">ub-division </w:t>
      </w:r>
      <w:r>
        <w:rPr>
          <w:rFonts w:cs="Times New Roman"/>
          <w:szCs w:val="24"/>
        </w:rPr>
        <w:t>and p</w:t>
      </w:r>
      <w:r w:rsidRPr="00665747">
        <w:rPr>
          <w:rFonts w:cs="Times New Roman"/>
          <w:szCs w:val="24"/>
        </w:rPr>
        <w:t>ackaging</w:t>
      </w:r>
    </w:p>
    <w:p w14:paraId="408134F2" w14:textId="77777777" w:rsidR="008E28C5" w:rsidRPr="00665747" w:rsidRDefault="008E28C5" w:rsidP="008E28C5">
      <w:pPr>
        <w:pStyle w:val="ListParagraph"/>
        <w:numPr>
          <w:ilvl w:val="0"/>
          <w:numId w:val="16"/>
        </w:numPr>
        <w:ind w:left="2268"/>
        <w:rPr>
          <w:rFonts w:cs="Times New Roman"/>
          <w:szCs w:val="24"/>
        </w:rPr>
      </w:pPr>
      <w:r w:rsidRPr="00665747">
        <w:rPr>
          <w:rFonts w:cs="Times New Roman"/>
          <w:szCs w:val="24"/>
        </w:rPr>
        <w:t>Homogeneity test</w:t>
      </w:r>
    </w:p>
    <w:p w14:paraId="37D8FA7C" w14:textId="77777777" w:rsidR="008E28C5" w:rsidRPr="00665747" w:rsidRDefault="008E28C5" w:rsidP="008E28C5">
      <w:pPr>
        <w:pStyle w:val="ListParagraph"/>
        <w:numPr>
          <w:ilvl w:val="0"/>
          <w:numId w:val="16"/>
        </w:numPr>
        <w:ind w:left="2268"/>
        <w:rPr>
          <w:rFonts w:cs="Times New Roman"/>
          <w:szCs w:val="24"/>
        </w:rPr>
      </w:pPr>
      <w:r w:rsidRPr="00665747">
        <w:rPr>
          <w:rFonts w:cs="Times New Roman"/>
          <w:szCs w:val="24"/>
        </w:rPr>
        <w:t>Stability test</w:t>
      </w:r>
    </w:p>
    <w:p w14:paraId="1A0E4755" w14:textId="77777777" w:rsidR="008E28C5" w:rsidRPr="00665747" w:rsidRDefault="008E28C5" w:rsidP="008E28C5">
      <w:pPr>
        <w:pStyle w:val="ListParagraph"/>
        <w:numPr>
          <w:ilvl w:val="0"/>
          <w:numId w:val="16"/>
        </w:numPr>
        <w:ind w:left="2268"/>
        <w:rPr>
          <w:rFonts w:cs="Times New Roman"/>
          <w:szCs w:val="24"/>
        </w:rPr>
      </w:pPr>
      <w:r w:rsidRPr="00665747">
        <w:rPr>
          <w:rFonts w:cs="Times New Roman"/>
          <w:szCs w:val="24"/>
        </w:rPr>
        <w:t>Characterisation / Value Assignment</w:t>
      </w:r>
    </w:p>
    <w:p w14:paraId="30D34B04" w14:textId="77777777" w:rsidR="008E28C5" w:rsidRPr="00665747" w:rsidRDefault="008E28C5" w:rsidP="008E28C5">
      <w:pPr>
        <w:pStyle w:val="ListParagraph"/>
        <w:numPr>
          <w:ilvl w:val="0"/>
          <w:numId w:val="16"/>
        </w:numPr>
        <w:ind w:left="2268"/>
        <w:rPr>
          <w:rFonts w:cs="Times New Roman"/>
          <w:szCs w:val="24"/>
        </w:rPr>
      </w:pPr>
      <w:r w:rsidRPr="00665747">
        <w:rPr>
          <w:rFonts w:cs="Times New Roman"/>
          <w:szCs w:val="24"/>
        </w:rPr>
        <w:t>Documentation / Information</w:t>
      </w:r>
      <w:r>
        <w:rPr>
          <w:rFonts w:cs="Times New Roman"/>
          <w:szCs w:val="24"/>
        </w:rPr>
        <w:t>, and</w:t>
      </w:r>
    </w:p>
    <w:p w14:paraId="34F1A8B4" w14:textId="77777777" w:rsidR="008E28C5" w:rsidRDefault="008E28C5" w:rsidP="008E28C5">
      <w:pPr>
        <w:pStyle w:val="ListParagraph"/>
        <w:numPr>
          <w:ilvl w:val="0"/>
          <w:numId w:val="16"/>
        </w:numPr>
        <w:ind w:left="2268"/>
        <w:rPr>
          <w:rFonts w:cs="Times New Roman"/>
          <w:szCs w:val="24"/>
        </w:rPr>
      </w:pPr>
      <w:r w:rsidRPr="00665747">
        <w:rPr>
          <w:rFonts w:cs="Times New Roman"/>
          <w:szCs w:val="24"/>
        </w:rPr>
        <w:t>Storage</w:t>
      </w:r>
      <w:r>
        <w:rPr>
          <w:rFonts w:cs="Times New Roman"/>
          <w:szCs w:val="24"/>
        </w:rPr>
        <w:t xml:space="preserve"> of material.</w:t>
      </w:r>
    </w:p>
    <w:p w14:paraId="35E1C979" w14:textId="3990ACC6" w:rsidR="00DA227F" w:rsidRDefault="00D453C5" w:rsidP="00DA227F">
      <w:pPr>
        <w:pStyle w:val="Heading2"/>
      </w:pPr>
      <w:bookmarkStart w:id="6" w:name="_Toc106207782"/>
      <w:r>
        <w:t>5</w:t>
      </w:r>
      <w:r w:rsidR="008E28C5">
        <w:t>.3</w:t>
      </w:r>
      <w:r w:rsidR="00DA227F" w:rsidRPr="00F4380B">
        <w:t xml:space="preserve">. </w:t>
      </w:r>
      <w:r w:rsidR="008E28C5">
        <w:t>Collection of RM sample</w:t>
      </w:r>
      <w:bookmarkEnd w:id="6"/>
    </w:p>
    <w:p w14:paraId="31FAF6C2" w14:textId="77777777" w:rsidR="008E28C5" w:rsidRDefault="008E28C5" w:rsidP="008E28C5">
      <w:pPr>
        <w:pStyle w:val="BodyText"/>
      </w:pPr>
      <w:r w:rsidRPr="00012664">
        <w:t>The first task is to obtain a sufficient amount of material for:</w:t>
      </w:r>
    </w:p>
    <w:p w14:paraId="03D9351D" w14:textId="77777777" w:rsidR="008E28C5" w:rsidRPr="00012664" w:rsidRDefault="008E28C5" w:rsidP="008E28C5">
      <w:pPr>
        <w:pStyle w:val="BodyText"/>
      </w:pPr>
    </w:p>
    <w:p w14:paraId="3ED75BB2" w14:textId="77777777" w:rsidR="008E28C5" w:rsidRPr="00012664" w:rsidRDefault="009861AF" w:rsidP="006D7339">
      <w:pPr>
        <w:numPr>
          <w:ilvl w:val="0"/>
          <w:numId w:val="18"/>
        </w:numPr>
        <w:ind w:left="567" w:hanging="207"/>
      </w:pPr>
      <w:r>
        <w:t>T</w:t>
      </w:r>
      <w:r w:rsidR="008E28C5" w:rsidRPr="00012664">
        <w:t>he homogeneity test</w:t>
      </w:r>
    </w:p>
    <w:p w14:paraId="66E5A469" w14:textId="0B212A9C" w:rsidR="008E28C5" w:rsidRDefault="009861AF" w:rsidP="006D7339">
      <w:pPr>
        <w:numPr>
          <w:ilvl w:val="0"/>
          <w:numId w:val="18"/>
        </w:numPr>
        <w:ind w:left="567" w:hanging="207"/>
      </w:pPr>
      <w:r>
        <w:t>T</w:t>
      </w:r>
      <w:r w:rsidR="008E28C5" w:rsidRPr="00012664">
        <w:t>he stability test</w:t>
      </w:r>
    </w:p>
    <w:p w14:paraId="126C5EEB" w14:textId="6EAEBCC5" w:rsidR="0064709C" w:rsidRPr="00012664" w:rsidRDefault="0064709C" w:rsidP="006D7339">
      <w:pPr>
        <w:numPr>
          <w:ilvl w:val="0"/>
          <w:numId w:val="18"/>
        </w:numPr>
        <w:ind w:left="567" w:hanging="207"/>
      </w:pPr>
      <w:r>
        <w:t>Level test (</w:t>
      </w:r>
      <w:r w:rsidRPr="003A37F9">
        <w:rPr>
          <w:i/>
          <w:iCs/>
        </w:rPr>
        <w:t>e.g.</w:t>
      </w:r>
      <w:r>
        <w:t xml:space="preserve">, concentration above </w:t>
      </w:r>
      <w:r w:rsidR="004227E0">
        <w:t xml:space="preserve">the </w:t>
      </w:r>
      <w:r>
        <w:t xml:space="preserve">detection limit (DL) for </w:t>
      </w:r>
      <w:proofErr w:type="gramStart"/>
      <w:r>
        <w:t>the majority of</w:t>
      </w:r>
      <w:proofErr w:type="gramEnd"/>
      <w:r>
        <w:t xml:space="preserve"> elements)</w:t>
      </w:r>
    </w:p>
    <w:p w14:paraId="12E14DCD" w14:textId="72CEA18A" w:rsidR="008E28C5" w:rsidRPr="00012664" w:rsidRDefault="009861AF" w:rsidP="006D7339">
      <w:pPr>
        <w:numPr>
          <w:ilvl w:val="0"/>
          <w:numId w:val="18"/>
        </w:numPr>
        <w:ind w:left="567" w:hanging="207"/>
      </w:pPr>
      <w:r>
        <w:t>O</w:t>
      </w:r>
      <w:r w:rsidR="008E28C5" w:rsidRPr="00012664">
        <w:t xml:space="preserve">rganisation of interlaboratory comparisons (IC) </w:t>
      </w:r>
      <w:r w:rsidR="004227E0">
        <w:rPr>
          <w:rFonts w:cs="Times New Roman"/>
        </w:rPr>
        <w:t>−</w:t>
      </w:r>
      <w:r w:rsidR="008E28C5" w:rsidRPr="00012664">
        <w:t xml:space="preserve"> characterisation of assigned values, and</w:t>
      </w:r>
    </w:p>
    <w:p w14:paraId="645830D1" w14:textId="77777777" w:rsidR="0064709C" w:rsidRDefault="009861AF" w:rsidP="006D7339">
      <w:pPr>
        <w:numPr>
          <w:ilvl w:val="0"/>
          <w:numId w:val="18"/>
        </w:numPr>
        <w:ind w:left="567" w:hanging="207"/>
      </w:pPr>
      <w:r>
        <w:t>C</w:t>
      </w:r>
      <w:r w:rsidR="008E28C5" w:rsidRPr="00012664">
        <w:t xml:space="preserve">ontrol analyses for the planned number of analyses of elements in collected </w:t>
      </w:r>
      <w:r w:rsidR="008E28C5">
        <w:t xml:space="preserve">reference </w:t>
      </w:r>
      <w:r w:rsidR="008E28C5" w:rsidRPr="00012664">
        <w:t>samples.</w:t>
      </w:r>
    </w:p>
    <w:p w14:paraId="40F73554" w14:textId="77777777" w:rsidR="0064709C" w:rsidRDefault="0064709C" w:rsidP="0064709C"/>
    <w:p w14:paraId="68727C66" w14:textId="57EFA756" w:rsidR="008E28C5" w:rsidRPr="00012664" w:rsidRDefault="003A37F9" w:rsidP="0064709C">
      <w:r>
        <w:t>By</w:t>
      </w:r>
      <w:r w:rsidR="0064709C">
        <w:t xml:space="preserve"> </w:t>
      </w:r>
      <w:r>
        <w:t>‘</w:t>
      </w:r>
      <w:r w:rsidR="0064709C" w:rsidRPr="002E6756">
        <w:rPr>
          <w:i/>
          <w:iCs/>
        </w:rPr>
        <w:t>sufficient amount of material</w:t>
      </w:r>
      <w:r>
        <w:t xml:space="preserve">’ is meant that there </w:t>
      </w:r>
      <w:r w:rsidR="002E6756">
        <w:t>should</w:t>
      </w:r>
      <w:r>
        <w:t xml:space="preserve"> be enough material to last for the duration of the </w:t>
      </w:r>
      <w:r w:rsidR="00E56EE7">
        <w:t xml:space="preserve">Global Geochemical Reference Network </w:t>
      </w:r>
      <w:r>
        <w:t>project, and a</w:t>
      </w:r>
      <w:r w:rsidR="002E6756">
        <w:t xml:space="preserve">n adequate amount </w:t>
      </w:r>
      <w:r w:rsidR="00D453C5">
        <w:t xml:space="preserve">to be leftover </w:t>
      </w:r>
      <w:r w:rsidR="002E6756">
        <w:t>for at least another</w:t>
      </w:r>
      <w:r>
        <w:t xml:space="preserve"> </w:t>
      </w:r>
      <w:r w:rsidR="002E6756">
        <w:t>run of the project.</w:t>
      </w:r>
    </w:p>
    <w:p w14:paraId="0B1B4779" w14:textId="1D1C0931" w:rsidR="008E28C5" w:rsidRDefault="00D453C5" w:rsidP="008E28C5">
      <w:pPr>
        <w:pStyle w:val="Heading2"/>
      </w:pPr>
      <w:bookmarkStart w:id="7" w:name="_Toc106207783"/>
      <w:r>
        <w:t>5</w:t>
      </w:r>
      <w:r w:rsidR="008E28C5">
        <w:t>.4</w:t>
      </w:r>
      <w:r w:rsidR="008E28C5" w:rsidRPr="00F4380B">
        <w:t xml:space="preserve">. </w:t>
      </w:r>
      <w:r w:rsidR="008E28C5">
        <w:t>Preparation of RM</w:t>
      </w:r>
      <w:bookmarkEnd w:id="7"/>
    </w:p>
    <w:p w14:paraId="3091AE72" w14:textId="77777777" w:rsidR="006D7339" w:rsidRPr="00271A2E" w:rsidRDefault="006D7339" w:rsidP="006D7339">
      <w:pPr>
        <w:pStyle w:val="BodyText"/>
      </w:pPr>
      <w:r w:rsidRPr="00271A2E">
        <w:t>The sample preparation scheme of the relevant RM will depend on the type of material and the required parameters of interest in the project.</w:t>
      </w:r>
    </w:p>
    <w:p w14:paraId="5FDE1BCF" w14:textId="14CA4904" w:rsidR="006D7339" w:rsidRPr="00271A2E" w:rsidRDefault="006D7339" w:rsidP="006D7339">
      <w:pPr>
        <w:pStyle w:val="Paragraph"/>
        <w:rPr>
          <w:rFonts w:eastAsia="Cambria"/>
        </w:rPr>
      </w:pPr>
      <w:r w:rsidRPr="00271A2E">
        <w:rPr>
          <w:rFonts w:eastAsia="Cambria"/>
        </w:rPr>
        <w:t xml:space="preserve">For the preparation and testing of the RM is necessary </w:t>
      </w:r>
      <w:r>
        <w:rPr>
          <w:rFonts w:eastAsia="Cambria"/>
        </w:rPr>
        <w:t xml:space="preserve">for the laboratory </w:t>
      </w:r>
      <w:r w:rsidRPr="00271A2E">
        <w:rPr>
          <w:rFonts w:eastAsia="Cambria"/>
        </w:rPr>
        <w:t xml:space="preserve">to </w:t>
      </w:r>
      <w:r>
        <w:rPr>
          <w:rFonts w:eastAsia="Cambria"/>
        </w:rPr>
        <w:t xml:space="preserve">have the </w:t>
      </w:r>
      <w:r w:rsidRPr="00271A2E">
        <w:rPr>
          <w:rFonts w:eastAsia="Cambria"/>
        </w:rPr>
        <w:t>suitable equipment and environmental conditions</w:t>
      </w:r>
      <w:r>
        <w:rPr>
          <w:rFonts w:eastAsia="Cambria"/>
        </w:rPr>
        <w:t>,</w:t>
      </w:r>
      <w:r w:rsidRPr="00271A2E">
        <w:rPr>
          <w:rFonts w:eastAsia="Cambria"/>
        </w:rPr>
        <w:t xml:space="preserve"> such as </w:t>
      </w:r>
      <w:r>
        <w:rPr>
          <w:rFonts w:eastAsia="Cambria"/>
        </w:rPr>
        <w:t xml:space="preserve">a </w:t>
      </w:r>
      <w:r w:rsidRPr="00271A2E">
        <w:rPr>
          <w:rFonts w:eastAsia="Cambria"/>
        </w:rPr>
        <w:t xml:space="preserve">clean </w:t>
      </w:r>
      <w:r>
        <w:rPr>
          <w:rFonts w:eastAsia="Cambria"/>
        </w:rPr>
        <w:t>environment</w:t>
      </w:r>
      <w:r w:rsidR="00EA5DE0">
        <w:rPr>
          <w:rFonts w:eastAsia="Cambria"/>
        </w:rPr>
        <w:t xml:space="preserve">, which </w:t>
      </w:r>
      <w:r>
        <w:rPr>
          <w:rFonts w:eastAsia="Cambria"/>
        </w:rPr>
        <w:t xml:space="preserve">ensures </w:t>
      </w:r>
      <w:r w:rsidR="00EA5DE0">
        <w:rPr>
          <w:rFonts w:eastAsia="Cambria"/>
        </w:rPr>
        <w:t xml:space="preserve">that </w:t>
      </w:r>
      <w:r>
        <w:rPr>
          <w:rFonts w:eastAsia="Cambria"/>
        </w:rPr>
        <w:t>the reference material is not contaminated during its preparation. Further,</w:t>
      </w:r>
      <w:r w:rsidRPr="00271A2E">
        <w:rPr>
          <w:rFonts w:eastAsia="Cambria"/>
        </w:rPr>
        <w:t xml:space="preserve"> if certain components of the material have dangerous properties, </w:t>
      </w:r>
      <w:r w:rsidR="00EC7FBE">
        <w:rPr>
          <w:rFonts w:eastAsia="Cambria"/>
        </w:rPr>
        <w:t xml:space="preserve">it is necessary </w:t>
      </w:r>
      <w:r w:rsidRPr="00271A2E">
        <w:rPr>
          <w:rFonts w:eastAsia="Cambria"/>
        </w:rPr>
        <w:t xml:space="preserve">to take </w:t>
      </w:r>
      <w:r w:rsidR="00EA5DE0">
        <w:rPr>
          <w:rFonts w:eastAsia="Cambria"/>
        </w:rPr>
        <w:t xml:space="preserve">the appropriate </w:t>
      </w:r>
      <w:r w:rsidRPr="00271A2E">
        <w:rPr>
          <w:rFonts w:eastAsia="Cambria"/>
        </w:rPr>
        <w:t xml:space="preserve">measures to avoid endangering the health of the </w:t>
      </w:r>
      <w:r w:rsidR="00EA5DE0">
        <w:rPr>
          <w:rFonts w:eastAsia="Cambria"/>
        </w:rPr>
        <w:t xml:space="preserve">personnel handling the </w:t>
      </w:r>
      <w:r w:rsidR="00EC7FBE">
        <w:rPr>
          <w:rFonts w:eastAsia="Cambria"/>
        </w:rPr>
        <w:t>material</w:t>
      </w:r>
      <w:r w:rsidRPr="00271A2E">
        <w:rPr>
          <w:rFonts w:eastAsia="Cambria"/>
        </w:rPr>
        <w:t xml:space="preserve">. </w:t>
      </w:r>
    </w:p>
    <w:p w14:paraId="66DDD094" w14:textId="31E86B9A" w:rsidR="006D7339" w:rsidRDefault="00D453C5" w:rsidP="006D7339">
      <w:pPr>
        <w:pStyle w:val="Heading2"/>
      </w:pPr>
      <w:bookmarkStart w:id="8" w:name="_Toc106207784"/>
      <w:r>
        <w:lastRenderedPageBreak/>
        <w:t>5</w:t>
      </w:r>
      <w:r w:rsidR="006D7339">
        <w:t>.5</w:t>
      </w:r>
      <w:r w:rsidR="006D7339" w:rsidRPr="00F4380B">
        <w:t xml:space="preserve">. </w:t>
      </w:r>
      <w:r w:rsidR="006D7339">
        <w:t>Processing of RM</w:t>
      </w:r>
      <w:bookmarkEnd w:id="8"/>
    </w:p>
    <w:p w14:paraId="6697ABAF" w14:textId="1A86A4E0" w:rsidR="00EA5DE0" w:rsidRPr="00665747" w:rsidRDefault="00EA5DE0" w:rsidP="00EA5DE0">
      <w:pPr>
        <w:pStyle w:val="BodyText"/>
        <w:rPr>
          <w:rStyle w:val="tlid-translation"/>
        </w:rPr>
      </w:pPr>
      <w:r w:rsidRPr="00665747">
        <w:rPr>
          <w:rStyle w:val="tlid-translation"/>
        </w:rPr>
        <w:t xml:space="preserve">The collected material (soil, sediment) contains water, which is removed by drying at ambient or elevated temperature (maximum 40°C), depending on the parameters of interest, as some RM volatile components may be partly lost. After drying the </w:t>
      </w:r>
      <w:r w:rsidR="002E6756">
        <w:rPr>
          <w:rStyle w:val="tlid-translation"/>
        </w:rPr>
        <w:t xml:space="preserve">soil or sediment </w:t>
      </w:r>
      <w:r w:rsidRPr="00665747">
        <w:rPr>
          <w:rStyle w:val="tlid-translation"/>
        </w:rPr>
        <w:t>sample</w:t>
      </w:r>
      <w:r>
        <w:rPr>
          <w:rStyle w:val="tlid-translation"/>
        </w:rPr>
        <w:t>,</w:t>
      </w:r>
      <w:r w:rsidRPr="00665747">
        <w:rPr>
          <w:rStyle w:val="tlid-translation"/>
        </w:rPr>
        <w:t xml:space="preserve"> it is necessary to crush, disintegrate, grind and reduce the particle size </w:t>
      </w:r>
      <w:r w:rsidR="008434D1">
        <w:rPr>
          <w:rStyle w:val="tlid-translation"/>
        </w:rPr>
        <w:t xml:space="preserve">to &lt;2 mm </w:t>
      </w:r>
      <w:r w:rsidRPr="00665747">
        <w:rPr>
          <w:rStyle w:val="tlid-translation"/>
        </w:rPr>
        <w:t xml:space="preserve">by sieving with </w:t>
      </w:r>
      <w:r w:rsidRPr="00665747">
        <w:t xml:space="preserve">a nylon screen </w:t>
      </w:r>
      <w:r w:rsidRPr="00665747">
        <w:rPr>
          <w:rStyle w:val="tlid-translation"/>
        </w:rPr>
        <w:t>to improve the homogeneity of the material.</w:t>
      </w:r>
    </w:p>
    <w:p w14:paraId="63A24452" w14:textId="3889C8F6" w:rsidR="00EA5DE0" w:rsidRDefault="00EA5DE0" w:rsidP="00EA5DE0">
      <w:pPr>
        <w:pStyle w:val="Paragraph"/>
        <w:rPr>
          <w:rStyle w:val="tlid-translation"/>
          <w:rFonts w:eastAsia="Cambria"/>
        </w:rPr>
      </w:pPr>
      <w:r w:rsidRPr="00665747">
        <w:rPr>
          <w:rStyle w:val="tlid-translation"/>
          <w:rFonts w:eastAsia="Cambria"/>
        </w:rPr>
        <w:t xml:space="preserve">The sieved samples with the desired grain size </w:t>
      </w:r>
      <w:r w:rsidR="00073C53">
        <w:rPr>
          <w:rStyle w:val="tlid-translation"/>
          <w:rFonts w:eastAsia="Cambria"/>
        </w:rPr>
        <w:t xml:space="preserve">(&lt;2 mm) </w:t>
      </w:r>
      <w:r w:rsidRPr="00665747">
        <w:rPr>
          <w:rStyle w:val="tlid-translation"/>
          <w:rFonts w:eastAsia="Cambria"/>
        </w:rPr>
        <w:t>are homogenised in a tilting mixer for 24 hours. During homogenisation, the material is checked for lumps.</w:t>
      </w:r>
    </w:p>
    <w:p w14:paraId="58B03681" w14:textId="0C05627D" w:rsidR="00E56EE7" w:rsidRDefault="00E56EE7" w:rsidP="00EA5DE0">
      <w:pPr>
        <w:pStyle w:val="Paragraph"/>
        <w:rPr>
          <w:rStyle w:val="tlid-translation"/>
          <w:rFonts w:eastAsia="Cambria"/>
        </w:rPr>
      </w:pPr>
      <w:r>
        <w:rPr>
          <w:rStyle w:val="tlid-translation"/>
          <w:rFonts w:eastAsia="Cambria"/>
        </w:rPr>
        <w:t xml:space="preserve">Rock reference materials </w:t>
      </w:r>
      <w:r w:rsidR="008434D1">
        <w:rPr>
          <w:rStyle w:val="tlid-translation"/>
          <w:rFonts w:eastAsia="Cambria"/>
        </w:rPr>
        <w:t xml:space="preserve">following crushing should be pulverised in agate mills to </w:t>
      </w:r>
      <w:r w:rsidR="00073C53">
        <w:rPr>
          <w:rStyle w:val="tlid-translation"/>
          <w:rFonts w:eastAsia="Cambria"/>
        </w:rPr>
        <w:t>&lt;0.075 mm.</w:t>
      </w:r>
    </w:p>
    <w:p w14:paraId="45A00B82" w14:textId="0F0D960F" w:rsidR="00073C53" w:rsidRPr="00665747" w:rsidRDefault="00073C53" w:rsidP="00EA5DE0">
      <w:pPr>
        <w:pStyle w:val="Paragraph"/>
        <w:rPr>
          <w:rStyle w:val="tlid-translation"/>
          <w:rFonts w:eastAsia="Cambria"/>
        </w:rPr>
      </w:pPr>
      <w:r>
        <w:rPr>
          <w:rStyle w:val="tlid-translation"/>
          <w:rFonts w:eastAsia="Cambria"/>
        </w:rPr>
        <w:t>It is important to record all the preparation stages of RMs, and the type of equipment used.</w:t>
      </w:r>
    </w:p>
    <w:p w14:paraId="6323DF45" w14:textId="6506ED8A" w:rsidR="00EA5DE0" w:rsidRDefault="00D453C5" w:rsidP="00EA5DE0">
      <w:pPr>
        <w:pStyle w:val="Heading2"/>
      </w:pPr>
      <w:bookmarkStart w:id="9" w:name="_Toc106207785"/>
      <w:r>
        <w:t>5</w:t>
      </w:r>
      <w:r w:rsidR="00EA5DE0">
        <w:t>.6</w:t>
      </w:r>
      <w:r w:rsidR="00EA5DE0" w:rsidRPr="00F4380B">
        <w:t xml:space="preserve">. </w:t>
      </w:r>
      <w:r w:rsidR="00EA5DE0">
        <w:t>Packaging, labelling, distribution</w:t>
      </w:r>
      <w:bookmarkEnd w:id="9"/>
    </w:p>
    <w:p w14:paraId="1957E822" w14:textId="55910F2E" w:rsidR="00EA5DE0" w:rsidRDefault="00EA5DE0" w:rsidP="00EA5DE0">
      <w:pPr>
        <w:pStyle w:val="BodyText"/>
        <w:rPr>
          <w:lang w:eastAsia="sk-SK"/>
        </w:rPr>
      </w:pPr>
      <w:r w:rsidRPr="00665747">
        <w:rPr>
          <w:lang w:eastAsia="sk-SK"/>
        </w:rPr>
        <w:t>After the RM has been homogenised, it is necessary:</w:t>
      </w:r>
    </w:p>
    <w:p w14:paraId="3900373F" w14:textId="77777777" w:rsidR="00AD07FA" w:rsidRPr="00665747" w:rsidRDefault="00AD07FA" w:rsidP="00EA5DE0">
      <w:pPr>
        <w:pStyle w:val="BodyText"/>
        <w:rPr>
          <w:lang w:eastAsia="sk-SK"/>
        </w:rPr>
      </w:pPr>
    </w:p>
    <w:p w14:paraId="5C712E80" w14:textId="1E448991" w:rsidR="00EA5DE0" w:rsidRPr="00665747" w:rsidRDefault="00F72BC4" w:rsidP="004B0069">
      <w:pPr>
        <w:numPr>
          <w:ilvl w:val="0"/>
          <w:numId w:val="27"/>
        </w:numPr>
        <w:ind w:left="567" w:hanging="207"/>
        <w:rPr>
          <w:rFonts w:eastAsia="Times New Roman" w:cs="Times New Roman"/>
          <w:szCs w:val="24"/>
          <w:lang w:eastAsia="sk-SK"/>
        </w:rPr>
      </w:pPr>
      <w:r>
        <w:rPr>
          <w:rFonts w:eastAsia="Times New Roman" w:cs="Times New Roman"/>
          <w:szCs w:val="24"/>
          <w:lang w:eastAsia="sk-SK"/>
        </w:rPr>
        <w:t>T</w:t>
      </w:r>
      <w:r w:rsidR="00EA5DE0">
        <w:rPr>
          <w:rFonts w:eastAsia="Times New Roman" w:cs="Times New Roman"/>
          <w:szCs w:val="24"/>
          <w:lang w:eastAsia="sk-SK"/>
        </w:rPr>
        <w:t xml:space="preserve">o select </w:t>
      </w:r>
      <w:r w:rsidR="00EC7FBE">
        <w:rPr>
          <w:rFonts w:eastAsia="Times New Roman" w:cs="Times New Roman"/>
          <w:szCs w:val="24"/>
          <w:lang w:eastAsia="sk-SK"/>
        </w:rPr>
        <w:t xml:space="preserve">a </w:t>
      </w:r>
      <w:r w:rsidR="00EA5DE0" w:rsidRPr="00665747">
        <w:rPr>
          <w:rFonts w:eastAsia="Times New Roman" w:cs="Times New Roman"/>
          <w:szCs w:val="24"/>
          <w:lang w:eastAsia="sk-SK"/>
        </w:rPr>
        <w:t xml:space="preserve">type of packaging that protects the </w:t>
      </w:r>
      <w:r w:rsidR="00646EA0">
        <w:rPr>
          <w:rFonts w:eastAsia="Times New Roman" w:cs="Times New Roman"/>
          <w:szCs w:val="24"/>
          <w:lang w:eastAsia="sk-SK"/>
        </w:rPr>
        <w:t>reference</w:t>
      </w:r>
      <w:r w:rsidR="00EA5DE0" w:rsidRPr="00665747">
        <w:rPr>
          <w:rFonts w:eastAsia="Times New Roman" w:cs="Times New Roman"/>
          <w:szCs w:val="24"/>
          <w:lang w:eastAsia="sk-SK"/>
        </w:rPr>
        <w:t xml:space="preserve"> material during storage, transport and handling, </w:t>
      </w:r>
      <w:r w:rsidR="000A101E" w:rsidRPr="000A101E">
        <w:rPr>
          <w:rFonts w:eastAsia="Times New Roman" w:cs="Times New Roman"/>
          <w:i/>
          <w:szCs w:val="24"/>
          <w:lang w:eastAsia="sk-SK"/>
        </w:rPr>
        <w:t>i.e.</w:t>
      </w:r>
      <w:r w:rsidR="00EA5DE0" w:rsidRPr="00665747">
        <w:rPr>
          <w:rFonts w:eastAsia="Times New Roman" w:cs="Times New Roman"/>
          <w:szCs w:val="24"/>
          <w:lang w:eastAsia="sk-SK"/>
        </w:rPr>
        <w:t xml:space="preserve">, the </w:t>
      </w:r>
      <w:proofErr w:type="gramStart"/>
      <w:r w:rsidR="00EA5DE0" w:rsidRPr="00665747">
        <w:rPr>
          <w:rFonts w:eastAsia="Times New Roman" w:cs="Times New Roman"/>
          <w:szCs w:val="24"/>
          <w:lang w:eastAsia="sk-SK"/>
        </w:rPr>
        <w:t>selection</w:t>
      </w:r>
      <w:proofErr w:type="gramEnd"/>
      <w:r w:rsidR="00EA5DE0" w:rsidRPr="00665747">
        <w:rPr>
          <w:rFonts w:eastAsia="Times New Roman" w:cs="Times New Roman"/>
          <w:szCs w:val="24"/>
          <w:lang w:eastAsia="sk-SK"/>
        </w:rPr>
        <w:t xml:space="preserve"> of packaging considers the type of prepared material</w:t>
      </w:r>
      <w:r>
        <w:rPr>
          <w:rFonts w:eastAsia="Times New Roman" w:cs="Times New Roman"/>
          <w:szCs w:val="24"/>
          <w:lang w:eastAsia="sk-SK"/>
        </w:rPr>
        <w:t>.</w:t>
      </w:r>
    </w:p>
    <w:p w14:paraId="7D11CFA5" w14:textId="2247DA4C" w:rsidR="00EA5DE0" w:rsidRPr="00665747" w:rsidRDefault="00F72BC4" w:rsidP="004B0069">
      <w:pPr>
        <w:numPr>
          <w:ilvl w:val="0"/>
          <w:numId w:val="27"/>
        </w:numPr>
        <w:ind w:left="567" w:hanging="207"/>
        <w:rPr>
          <w:rFonts w:eastAsia="Times New Roman" w:cs="Times New Roman"/>
          <w:szCs w:val="24"/>
          <w:lang w:eastAsia="sk-SK"/>
        </w:rPr>
      </w:pPr>
      <w:r>
        <w:rPr>
          <w:rFonts w:eastAsia="Times New Roman" w:cs="Times New Roman"/>
          <w:szCs w:val="24"/>
          <w:lang w:eastAsia="sk-SK"/>
        </w:rPr>
        <w:t>T</w:t>
      </w:r>
      <w:r w:rsidR="00EA5DE0">
        <w:rPr>
          <w:rFonts w:eastAsia="Times New Roman" w:cs="Times New Roman"/>
          <w:szCs w:val="24"/>
          <w:lang w:eastAsia="sk-SK"/>
        </w:rPr>
        <w:t xml:space="preserve">o </w:t>
      </w:r>
      <w:r w:rsidR="00EA5DE0" w:rsidRPr="00665747">
        <w:rPr>
          <w:rFonts w:eastAsia="Times New Roman" w:cs="Times New Roman"/>
          <w:szCs w:val="24"/>
          <w:lang w:eastAsia="sk-SK"/>
        </w:rPr>
        <w:t xml:space="preserve">label the </w:t>
      </w:r>
      <w:r w:rsidR="00EA5DE0">
        <w:rPr>
          <w:rFonts w:eastAsia="Times New Roman" w:cs="Times New Roman"/>
          <w:szCs w:val="24"/>
          <w:lang w:eastAsia="sk-SK"/>
        </w:rPr>
        <w:t>packed</w:t>
      </w:r>
      <w:r w:rsidR="00EA5DE0" w:rsidRPr="00665747">
        <w:rPr>
          <w:rFonts w:eastAsia="Times New Roman" w:cs="Times New Roman"/>
          <w:szCs w:val="24"/>
          <w:lang w:eastAsia="sk-SK"/>
        </w:rPr>
        <w:t xml:space="preserve"> material with the name of the test material and </w:t>
      </w:r>
      <w:r w:rsidR="00A57953">
        <w:rPr>
          <w:rFonts w:eastAsia="Times New Roman" w:cs="Times New Roman"/>
          <w:szCs w:val="24"/>
          <w:lang w:eastAsia="sk-SK"/>
        </w:rPr>
        <w:t xml:space="preserve">the </w:t>
      </w:r>
      <w:r w:rsidR="00EA5DE0" w:rsidRPr="00665747">
        <w:rPr>
          <w:rFonts w:eastAsia="Times New Roman" w:cs="Times New Roman"/>
          <w:szCs w:val="24"/>
          <w:lang w:eastAsia="sk-SK"/>
        </w:rPr>
        <w:t>name</w:t>
      </w:r>
      <w:r w:rsidR="00EA5DE0">
        <w:rPr>
          <w:rFonts w:eastAsia="Times New Roman" w:cs="Times New Roman"/>
          <w:szCs w:val="24"/>
          <w:lang w:eastAsia="sk-SK"/>
        </w:rPr>
        <w:t xml:space="preserve"> of </w:t>
      </w:r>
      <w:r w:rsidR="00A57953">
        <w:rPr>
          <w:rFonts w:eastAsia="Times New Roman" w:cs="Times New Roman"/>
          <w:szCs w:val="24"/>
          <w:lang w:eastAsia="sk-SK"/>
        </w:rPr>
        <w:t xml:space="preserve">the </w:t>
      </w:r>
      <w:r w:rsidR="00EA5DE0">
        <w:rPr>
          <w:rFonts w:eastAsia="Times New Roman" w:cs="Times New Roman"/>
          <w:szCs w:val="24"/>
          <w:lang w:eastAsia="sk-SK"/>
        </w:rPr>
        <w:t>preparation laboratory</w:t>
      </w:r>
      <w:r>
        <w:rPr>
          <w:rFonts w:eastAsia="Times New Roman" w:cs="Times New Roman"/>
          <w:szCs w:val="24"/>
          <w:lang w:eastAsia="sk-SK"/>
        </w:rPr>
        <w:t>.</w:t>
      </w:r>
    </w:p>
    <w:p w14:paraId="2F57E368" w14:textId="77777777" w:rsidR="00EA5DE0" w:rsidRPr="00665747" w:rsidRDefault="00F72BC4" w:rsidP="004B0069">
      <w:pPr>
        <w:numPr>
          <w:ilvl w:val="0"/>
          <w:numId w:val="27"/>
        </w:numPr>
        <w:ind w:left="567" w:hanging="207"/>
        <w:rPr>
          <w:rFonts w:eastAsia="Times New Roman" w:cs="Times New Roman"/>
          <w:szCs w:val="24"/>
          <w:lang w:eastAsia="sk-SK"/>
        </w:rPr>
      </w:pPr>
      <w:r>
        <w:rPr>
          <w:rFonts w:eastAsia="Times New Roman" w:cs="Times New Roman"/>
          <w:szCs w:val="24"/>
          <w:lang w:eastAsia="sk-SK"/>
        </w:rPr>
        <w:t>T</w:t>
      </w:r>
      <w:r w:rsidR="00EA5DE0">
        <w:rPr>
          <w:rFonts w:eastAsia="Times New Roman" w:cs="Times New Roman"/>
          <w:szCs w:val="24"/>
          <w:lang w:eastAsia="sk-SK"/>
        </w:rPr>
        <w:t xml:space="preserve">o </w:t>
      </w:r>
      <w:r w:rsidR="00EA5DE0" w:rsidRPr="00665747">
        <w:rPr>
          <w:rFonts w:eastAsia="Times New Roman" w:cs="Times New Roman"/>
          <w:szCs w:val="24"/>
          <w:lang w:eastAsia="sk-SK"/>
        </w:rPr>
        <w:t>maintain material homogeneity,</w:t>
      </w:r>
      <w:r w:rsidR="00EA5DE0">
        <w:rPr>
          <w:rFonts w:eastAsia="Times New Roman" w:cs="Times New Roman"/>
          <w:szCs w:val="24"/>
          <w:lang w:eastAsia="sk-SK"/>
        </w:rPr>
        <w:t xml:space="preserve"> and</w:t>
      </w:r>
    </w:p>
    <w:p w14:paraId="59BBC700" w14:textId="77777777" w:rsidR="00EA5DE0" w:rsidRPr="00665747" w:rsidRDefault="00F72BC4" w:rsidP="004B0069">
      <w:pPr>
        <w:numPr>
          <w:ilvl w:val="0"/>
          <w:numId w:val="27"/>
        </w:numPr>
        <w:ind w:left="567" w:hanging="207"/>
        <w:rPr>
          <w:rFonts w:eastAsia="Times New Roman" w:cs="Times New Roman"/>
          <w:szCs w:val="24"/>
          <w:lang w:eastAsia="sk-SK"/>
        </w:rPr>
      </w:pPr>
      <w:r>
        <w:rPr>
          <w:rFonts w:eastAsia="Times New Roman" w:cs="Times New Roman"/>
          <w:szCs w:val="24"/>
          <w:lang w:eastAsia="sk-SK"/>
        </w:rPr>
        <w:t>T</w:t>
      </w:r>
      <w:r w:rsidR="00EA5DE0" w:rsidRPr="00665747">
        <w:rPr>
          <w:rFonts w:eastAsia="Times New Roman" w:cs="Times New Roman"/>
          <w:szCs w:val="24"/>
          <w:lang w:eastAsia="sk-SK"/>
        </w:rPr>
        <w:t>o avoid segregation of finer particles in the process</w:t>
      </w:r>
      <w:r w:rsidR="00EA5DE0">
        <w:rPr>
          <w:rFonts w:eastAsia="Times New Roman" w:cs="Times New Roman"/>
          <w:szCs w:val="24"/>
          <w:lang w:eastAsia="sk-SK"/>
        </w:rPr>
        <w:t>ing</w:t>
      </w:r>
      <w:r w:rsidR="00EA5DE0" w:rsidRPr="00665747">
        <w:rPr>
          <w:rFonts w:eastAsia="Times New Roman" w:cs="Times New Roman"/>
          <w:szCs w:val="24"/>
          <w:lang w:eastAsia="sk-SK"/>
        </w:rPr>
        <w:t xml:space="preserve"> of soil or sediment during sub-division.</w:t>
      </w:r>
    </w:p>
    <w:p w14:paraId="13CE2A03" w14:textId="77777777" w:rsidR="00EA5DE0" w:rsidRDefault="00EA5DE0" w:rsidP="00EA5DE0">
      <w:pPr>
        <w:ind w:left="360"/>
        <w:rPr>
          <w:rStyle w:val="tlid-translation"/>
          <w:szCs w:val="24"/>
        </w:rPr>
      </w:pPr>
    </w:p>
    <w:p w14:paraId="672E74DA" w14:textId="4F13EE15" w:rsidR="00EA5DE0" w:rsidRDefault="00EA5DE0" w:rsidP="00EA5DE0">
      <w:pPr>
        <w:pStyle w:val="Paragraph"/>
        <w:rPr>
          <w:rStyle w:val="tlid-translation"/>
          <w:rFonts w:eastAsia="Cambria"/>
        </w:rPr>
      </w:pPr>
      <w:r w:rsidRPr="00665747">
        <w:rPr>
          <w:rStyle w:val="tlid-translation"/>
          <w:rFonts w:eastAsia="Cambria"/>
        </w:rPr>
        <w:t>The sub-division of a bulk material should be completed in the shortest possible time to minimi</w:t>
      </w:r>
      <w:r>
        <w:rPr>
          <w:rStyle w:val="tlid-translation"/>
          <w:rFonts w:eastAsia="Cambria"/>
        </w:rPr>
        <w:t>s</w:t>
      </w:r>
      <w:r w:rsidRPr="00665747">
        <w:rPr>
          <w:rStyle w:val="tlid-translation"/>
          <w:rFonts w:eastAsia="Cambria"/>
        </w:rPr>
        <w:t xml:space="preserve">e the </w:t>
      </w:r>
      <w:r>
        <w:rPr>
          <w:rStyle w:val="tlid-translation"/>
          <w:rFonts w:eastAsia="Cambria"/>
        </w:rPr>
        <w:t>chances</w:t>
      </w:r>
      <w:r w:rsidRPr="00665747">
        <w:rPr>
          <w:rStyle w:val="tlid-translation"/>
          <w:rFonts w:eastAsia="Cambria"/>
        </w:rPr>
        <w:t xml:space="preserve"> for the matrix to revert to heterogeneity.</w:t>
      </w:r>
    </w:p>
    <w:p w14:paraId="4AA181E8" w14:textId="237A04CB" w:rsidR="00646EA0" w:rsidRPr="00665747" w:rsidRDefault="00646EA0" w:rsidP="00EA5DE0">
      <w:pPr>
        <w:pStyle w:val="Paragraph"/>
        <w:rPr>
          <w:rStyle w:val="tlid-translation"/>
          <w:rFonts w:eastAsia="Cambria"/>
        </w:rPr>
      </w:pPr>
      <w:r>
        <w:rPr>
          <w:rStyle w:val="tlid-translation"/>
          <w:rFonts w:eastAsia="Cambria"/>
        </w:rPr>
        <w:t>Although it is probably not so relevant to the sort of standard reference materials used in geochemistry, tracking of standards is a requirement of accreditation organisations (</w:t>
      </w:r>
      <w:r w:rsidRPr="00073C53">
        <w:rPr>
          <w:rStyle w:val="tlid-translation"/>
          <w:rFonts w:eastAsia="Cambria"/>
          <w:i/>
          <w:iCs/>
        </w:rPr>
        <w:t>e.g</w:t>
      </w:r>
      <w:r>
        <w:rPr>
          <w:rStyle w:val="tlid-translation"/>
          <w:rFonts w:eastAsia="Cambria"/>
        </w:rPr>
        <w:t>., ISO 17025 (ISO, 2017</w:t>
      </w:r>
      <w:r w:rsidR="00073C53">
        <w:rPr>
          <w:rStyle w:val="tlid-translation"/>
          <w:rFonts w:eastAsia="Cambria"/>
        </w:rPr>
        <w:t>b</w:t>
      </w:r>
      <w:r>
        <w:rPr>
          <w:rStyle w:val="tlid-translation"/>
          <w:rFonts w:eastAsia="Cambria"/>
        </w:rPr>
        <w:t xml:space="preserve">), and </w:t>
      </w:r>
      <w:r w:rsidR="00A57953">
        <w:rPr>
          <w:rStyle w:val="tlid-translation"/>
          <w:rFonts w:eastAsia="Cambria"/>
        </w:rPr>
        <w:t xml:space="preserve">the </w:t>
      </w:r>
      <w:r>
        <w:rPr>
          <w:rStyle w:val="tlid-translation"/>
          <w:rFonts w:eastAsia="Cambria"/>
        </w:rPr>
        <w:t>date of preparation is one thing they like to track. Therefore, the date of preparation should be on the label of each reference material.</w:t>
      </w:r>
    </w:p>
    <w:p w14:paraId="7C45BF23" w14:textId="3465B006" w:rsidR="00EA5DE0" w:rsidRDefault="00D453C5" w:rsidP="00EA5DE0">
      <w:pPr>
        <w:pStyle w:val="Heading2"/>
      </w:pPr>
      <w:bookmarkStart w:id="10" w:name="_Toc106207786"/>
      <w:r>
        <w:t>5</w:t>
      </w:r>
      <w:r w:rsidR="00EA5DE0">
        <w:t>.7</w:t>
      </w:r>
      <w:r w:rsidR="00EA5DE0" w:rsidRPr="00F4380B">
        <w:t xml:space="preserve">. </w:t>
      </w:r>
      <w:r w:rsidR="00EA5DE0" w:rsidRPr="00EA5DE0">
        <w:t>Homogeneity test and statistical treatment of homogeneity data</w:t>
      </w:r>
      <w:bookmarkEnd w:id="10"/>
    </w:p>
    <w:p w14:paraId="3DAE96AF" w14:textId="3F0B5AAE" w:rsidR="00EA1853" w:rsidRDefault="00EA5DE0" w:rsidP="00EA5DE0">
      <w:pPr>
        <w:pStyle w:val="BodyText"/>
        <w:rPr>
          <w:rStyle w:val="tlid-translation"/>
        </w:rPr>
      </w:pPr>
      <w:r>
        <w:rPr>
          <w:rStyle w:val="tlid-translation"/>
        </w:rPr>
        <w:t>As most RMs are prepared as batches of ‘units’ (</w:t>
      </w:r>
      <w:r w:rsidR="000A101E" w:rsidRPr="000A101E">
        <w:rPr>
          <w:rStyle w:val="tlid-translation"/>
          <w:i/>
        </w:rPr>
        <w:t>e.g.</w:t>
      </w:r>
      <w:r>
        <w:rPr>
          <w:rStyle w:val="tlid-translation"/>
        </w:rPr>
        <w:t xml:space="preserve">, bottles or vials), all units </w:t>
      </w:r>
      <w:r w:rsidR="00A57953">
        <w:rPr>
          <w:rStyle w:val="tlid-translation"/>
        </w:rPr>
        <w:t xml:space="preserve">must be of the </w:t>
      </w:r>
      <w:r>
        <w:rPr>
          <w:rStyle w:val="tlid-translation"/>
        </w:rPr>
        <w:t xml:space="preserve">same </w:t>
      </w:r>
      <w:r w:rsidR="00A57953">
        <w:rPr>
          <w:rStyle w:val="tlid-translation"/>
        </w:rPr>
        <w:t xml:space="preserve">chemical </w:t>
      </w:r>
      <w:r>
        <w:rPr>
          <w:rStyle w:val="tlid-translation"/>
        </w:rPr>
        <w:t>composition within the stated uncertainty for each determinand (ISO, 20</w:t>
      </w:r>
      <w:r w:rsidR="002E513F">
        <w:rPr>
          <w:rStyle w:val="tlid-translation"/>
        </w:rPr>
        <w:t>1</w:t>
      </w:r>
      <w:r>
        <w:rPr>
          <w:rStyle w:val="tlid-translation"/>
        </w:rPr>
        <w:t>7</w:t>
      </w:r>
      <w:r w:rsidR="002E513F">
        <w:rPr>
          <w:rStyle w:val="tlid-translation"/>
        </w:rPr>
        <w:t>a</w:t>
      </w:r>
      <w:r>
        <w:rPr>
          <w:rStyle w:val="tlid-translation"/>
        </w:rPr>
        <w:t xml:space="preserve">). </w:t>
      </w:r>
      <w:r w:rsidRPr="00665747">
        <w:rPr>
          <w:rStyle w:val="tlid-translation"/>
        </w:rPr>
        <w:t xml:space="preserve">The homogeneity of the prepared material is verified by a homogeneity test on a selected and sufficient number of units. The measurement is performed on those </w:t>
      </w:r>
      <w:r>
        <w:rPr>
          <w:rStyle w:val="tlid-translation"/>
        </w:rPr>
        <w:t>determinands</w:t>
      </w:r>
      <w:r w:rsidRPr="00665747">
        <w:rPr>
          <w:rStyle w:val="tlid-translation"/>
        </w:rPr>
        <w:t xml:space="preserve"> that are of interest to the project. The choice of methodology shall ensure that the method is validated and has a sufficient level of repeatability.</w:t>
      </w:r>
    </w:p>
    <w:p w14:paraId="1AC289CB" w14:textId="0FF824F5" w:rsidR="00EA5DE0" w:rsidRDefault="00EA5DE0" w:rsidP="00EA1853">
      <w:pPr>
        <w:pStyle w:val="Paragraph"/>
        <w:rPr>
          <w:rStyle w:val="tlid-translation"/>
        </w:rPr>
      </w:pPr>
      <w:r w:rsidRPr="00AB09BD">
        <w:rPr>
          <w:rStyle w:val="tlid-translation"/>
        </w:rPr>
        <w:t>According to ISO Guide 35 (ISO, 20</w:t>
      </w:r>
      <w:r w:rsidR="001406CF" w:rsidRPr="00AB09BD">
        <w:rPr>
          <w:rStyle w:val="tlid-translation"/>
        </w:rPr>
        <w:t>1</w:t>
      </w:r>
      <w:r w:rsidRPr="00AB09BD">
        <w:rPr>
          <w:rStyle w:val="tlid-translation"/>
        </w:rPr>
        <w:t>7</w:t>
      </w:r>
      <w:r w:rsidR="00B15FC6" w:rsidRPr="00AB09BD">
        <w:rPr>
          <w:rStyle w:val="tlid-translation"/>
        </w:rPr>
        <w:t>a</w:t>
      </w:r>
      <w:r w:rsidRPr="00AB09BD">
        <w:rPr>
          <w:rStyle w:val="tlid-translation"/>
        </w:rPr>
        <w:t>), analytical test procedures that have little or no sample preparation (so-called non-destructive methods) can show better accuracy than those requiring extensive multi-stage sample preparation.</w:t>
      </w:r>
    </w:p>
    <w:p w14:paraId="342CEFC3" w14:textId="515DB471" w:rsidR="00EA5DE0" w:rsidRPr="00665747" w:rsidRDefault="00EA5DE0" w:rsidP="00EA5DE0">
      <w:pPr>
        <w:pStyle w:val="Paragraph"/>
      </w:pPr>
      <w:r w:rsidRPr="00665747">
        <w:rPr>
          <w:rStyle w:val="tlid-translation"/>
          <w:rFonts w:eastAsia="Cambria"/>
        </w:rPr>
        <w:t xml:space="preserve">Homogeneity has two aspects, between-unit homogeneity and within-unit homogeneity. </w:t>
      </w:r>
      <w:r w:rsidR="0060302C">
        <w:rPr>
          <w:rStyle w:val="tlid-translation"/>
          <w:rFonts w:eastAsia="Cambria"/>
        </w:rPr>
        <w:t xml:space="preserve"> </w:t>
      </w:r>
      <w:r w:rsidRPr="00665747">
        <w:rPr>
          <w:rStyle w:val="tlid-translation"/>
          <w:rFonts w:eastAsia="Cambria"/>
        </w:rPr>
        <w:t xml:space="preserve">The </w:t>
      </w:r>
      <w:r w:rsidRPr="0060302C">
        <w:rPr>
          <w:rStyle w:val="tlid-translation"/>
          <w:rFonts w:eastAsia="Cambria"/>
          <w:i/>
          <w:iCs/>
        </w:rPr>
        <w:t>between-unit homogeneity</w:t>
      </w:r>
      <w:r w:rsidRPr="00665747">
        <w:rPr>
          <w:rStyle w:val="tlid-translation"/>
          <w:rFonts w:eastAsia="Cambria"/>
        </w:rPr>
        <w:t xml:space="preserve"> reflects changes in measurement results in each unit of material. The </w:t>
      </w:r>
      <w:r w:rsidRPr="0060302C">
        <w:rPr>
          <w:rStyle w:val="tlid-translation"/>
          <w:rFonts w:eastAsia="Cambria"/>
          <w:i/>
          <w:iCs/>
        </w:rPr>
        <w:t>within-unit homogeneity</w:t>
      </w:r>
      <w:r w:rsidRPr="00665747">
        <w:rPr>
          <w:rStyle w:val="tlid-translation"/>
          <w:rFonts w:eastAsia="Cambria"/>
        </w:rPr>
        <w:t xml:space="preserve"> is expressed </w:t>
      </w:r>
      <w:r w:rsidR="0060302C">
        <w:rPr>
          <w:rStyle w:val="tlid-translation"/>
          <w:rFonts w:eastAsia="Cambria"/>
        </w:rPr>
        <w:t>as</w:t>
      </w:r>
      <w:r w:rsidRPr="00665747">
        <w:rPr>
          <w:rStyle w:val="tlid-translation"/>
          <w:rFonts w:eastAsia="Cambria"/>
        </w:rPr>
        <w:t xml:space="preserve"> the minimum quantity of subsample that is representative </w:t>
      </w:r>
      <w:r w:rsidR="0060302C">
        <w:rPr>
          <w:rStyle w:val="tlid-translation"/>
          <w:rFonts w:eastAsia="Cambria"/>
        </w:rPr>
        <w:t>of</w:t>
      </w:r>
      <w:r w:rsidRPr="00665747">
        <w:rPr>
          <w:rStyle w:val="tlid-translation"/>
          <w:rFonts w:eastAsia="Cambria"/>
        </w:rPr>
        <w:t xml:space="preserve"> the whole unit. The results of the homogeneity test verify, whether the between-unit variance of the measured values ​​of the monitored </w:t>
      </w:r>
      <w:r>
        <w:rPr>
          <w:rStyle w:val="tlid-translation"/>
          <w:rFonts w:eastAsia="Cambria"/>
        </w:rPr>
        <w:t>determinands</w:t>
      </w:r>
      <w:r w:rsidRPr="00665747">
        <w:rPr>
          <w:rStyle w:val="tlid-translation"/>
          <w:rFonts w:eastAsia="Cambria"/>
        </w:rPr>
        <w:t xml:space="preserve"> of the test material </w:t>
      </w:r>
      <w:r w:rsidR="00A57953">
        <w:rPr>
          <w:rStyle w:val="tlid-translation"/>
          <w:rFonts w:eastAsia="Cambria"/>
        </w:rPr>
        <w:t>is</w:t>
      </w:r>
      <w:r w:rsidRPr="00665747">
        <w:rPr>
          <w:rStyle w:val="tlid-translation"/>
          <w:rFonts w:eastAsia="Cambria"/>
        </w:rPr>
        <w:t xml:space="preserve"> not statistically significant compared to the within-unit variance, and whether the within-unit variance is statistically significant compared to the variance of the method used.</w:t>
      </w:r>
      <w:r w:rsidRPr="00665747">
        <w:t xml:space="preserve"> </w:t>
      </w:r>
    </w:p>
    <w:p w14:paraId="3AF6DC77" w14:textId="03AF32B7" w:rsidR="00EA5DE0" w:rsidRPr="00665747" w:rsidRDefault="00EA5DE0" w:rsidP="00EA5DE0">
      <w:pPr>
        <w:pStyle w:val="Paragraph"/>
        <w:rPr>
          <w:rStyle w:val="tlid-translation"/>
          <w:rFonts w:eastAsia="Cambria"/>
        </w:rPr>
      </w:pPr>
      <w:r w:rsidRPr="00665747">
        <w:rPr>
          <w:rStyle w:val="tlid-translation"/>
          <w:rFonts w:eastAsia="Cambria"/>
        </w:rPr>
        <w:t xml:space="preserve">The recommended number of units, from the multi-unit batches comprising </w:t>
      </w:r>
      <w:r>
        <w:rPr>
          <w:rStyle w:val="tlid-translation"/>
          <w:rFonts w:eastAsia="Cambria"/>
        </w:rPr>
        <w:t xml:space="preserve">a </w:t>
      </w:r>
      <w:r w:rsidRPr="00665747">
        <w:rPr>
          <w:rStyle w:val="tlid-translation"/>
          <w:rFonts w:eastAsia="Cambria"/>
        </w:rPr>
        <w:t xml:space="preserve">stock of </w:t>
      </w:r>
      <w:r w:rsidR="0097712F">
        <w:rPr>
          <w:rStyle w:val="tlid-translation"/>
          <w:rFonts w:eastAsia="Cambria"/>
        </w:rPr>
        <w:t>‘</w:t>
      </w:r>
      <w:r w:rsidRPr="0097712F">
        <w:rPr>
          <w:rStyle w:val="tlid-translation"/>
          <w:rFonts w:eastAsia="Cambria"/>
          <w:i/>
          <w:iCs/>
        </w:rPr>
        <w:t>n</w:t>
      </w:r>
      <w:r w:rsidR="0097712F">
        <w:rPr>
          <w:rStyle w:val="tlid-translation"/>
          <w:rFonts w:eastAsia="Cambria"/>
        </w:rPr>
        <w:t>’</w:t>
      </w:r>
      <w:r w:rsidRPr="00665747">
        <w:rPr>
          <w:rStyle w:val="tlid-translation"/>
          <w:rFonts w:eastAsia="Cambria"/>
        </w:rPr>
        <w:t xml:space="preserve"> - individual units, to perform the homogeneity test should be three times the cubed root of </w:t>
      </w:r>
      <w:r w:rsidR="0097712F">
        <w:rPr>
          <w:rStyle w:val="tlid-translation"/>
          <w:rFonts w:eastAsia="Cambria"/>
        </w:rPr>
        <w:t>‘</w:t>
      </w:r>
      <w:r w:rsidR="0097712F" w:rsidRPr="0097712F">
        <w:rPr>
          <w:rStyle w:val="tlid-translation"/>
          <w:rFonts w:eastAsia="Cambria"/>
          <w:i/>
          <w:iCs/>
        </w:rPr>
        <w:t>n</w:t>
      </w:r>
      <w:r w:rsidR="0097712F">
        <w:rPr>
          <w:rStyle w:val="tlid-translation"/>
          <w:rFonts w:eastAsia="Cambria"/>
        </w:rPr>
        <w:t>’</w:t>
      </w:r>
      <w:r w:rsidR="0097712F" w:rsidRPr="00665747">
        <w:rPr>
          <w:rStyle w:val="tlid-translation"/>
          <w:rFonts w:eastAsia="Cambria"/>
        </w:rPr>
        <w:t xml:space="preserve"> </w:t>
      </w:r>
      <w:r>
        <w:rPr>
          <w:rStyle w:val="tlid-translation"/>
          <w:rFonts w:eastAsia="Cambria"/>
        </w:rPr>
        <w:lastRenderedPageBreak/>
        <w:t>(ISO, 2014)</w:t>
      </w:r>
      <w:r w:rsidRPr="00665747">
        <w:rPr>
          <w:rStyle w:val="tlid-translation"/>
          <w:rFonts w:eastAsia="Cambria"/>
        </w:rPr>
        <w:t xml:space="preserve">. </w:t>
      </w:r>
      <w:r w:rsidRPr="0060401A">
        <w:rPr>
          <w:rStyle w:val="tlid-translation"/>
          <w:rFonts w:eastAsia="Cambria"/>
          <w:i/>
          <w:iCs/>
          <w:u w:val="single"/>
        </w:rPr>
        <w:t>Example</w:t>
      </w:r>
      <w:r w:rsidRPr="00665747">
        <w:rPr>
          <w:rStyle w:val="tlid-translation"/>
          <w:rFonts w:eastAsia="Cambria"/>
        </w:rPr>
        <w:t xml:space="preserve">: For </w:t>
      </w:r>
      <w:r w:rsidR="00832149">
        <w:rPr>
          <w:rStyle w:val="tlid-translation"/>
          <w:rFonts w:eastAsia="Cambria"/>
        </w:rPr>
        <w:t xml:space="preserve">the </w:t>
      </w:r>
      <w:r w:rsidRPr="00665747">
        <w:rPr>
          <w:rStyle w:val="tlid-translation"/>
          <w:rFonts w:eastAsia="Cambria"/>
        </w:rPr>
        <w:t xml:space="preserve">preparation of 1000 units, 10 units or more </w:t>
      </w:r>
      <w:r>
        <w:rPr>
          <w:rStyle w:val="tlid-translation"/>
          <w:rFonts w:eastAsia="Cambria"/>
        </w:rPr>
        <w:t>are</w:t>
      </w:r>
      <w:r w:rsidRPr="00665747">
        <w:rPr>
          <w:rStyle w:val="tlid-translation"/>
          <w:rFonts w:eastAsia="Cambria"/>
        </w:rPr>
        <w:t xml:space="preserve"> sufficient, depending on the matrix of the test material. Stratified random sampling is recommended for selecting </w:t>
      </w:r>
      <w:r w:rsidR="00832149">
        <w:rPr>
          <w:rStyle w:val="tlid-translation"/>
          <w:rFonts w:eastAsia="Cambria"/>
        </w:rPr>
        <w:t>‘</w:t>
      </w:r>
      <w:r w:rsidRPr="00832149">
        <w:rPr>
          <w:rStyle w:val="tlid-translation"/>
          <w:rFonts w:eastAsia="Cambria"/>
          <w:i/>
          <w:iCs/>
        </w:rPr>
        <w:t>n</w:t>
      </w:r>
      <w:r w:rsidR="00832149">
        <w:rPr>
          <w:rStyle w:val="tlid-translation"/>
          <w:rFonts w:eastAsia="Cambria"/>
        </w:rPr>
        <w:t>’</w:t>
      </w:r>
      <w:r w:rsidRPr="00665747">
        <w:rPr>
          <w:rStyle w:val="tlid-translation"/>
          <w:rFonts w:eastAsia="Cambria"/>
        </w:rPr>
        <w:t xml:space="preserve"> units from the entire set of prepared packages. Random samples should be determined using random number generation software</w:t>
      </w:r>
      <w:r w:rsidR="009A1D65">
        <w:rPr>
          <w:rStyle w:val="tlid-translation"/>
          <w:rFonts w:eastAsia="Cambria"/>
        </w:rPr>
        <w:t>.</w:t>
      </w:r>
    </w:p>
    <w:p w14:paraId="2B7485CB" w14:textId="4AB802C5" w:rsidR="00EA5DE0" w:rsidRPr="00665747" w:rsidRDefault="00F241D8" w:rsidP="00EA5DE0">
      <w:pPr>
        <w:pStyle w:val="Paragraph"/>
      </w:pPr>
      <w:r>
        <w:rPr>
          <w:rStyle w:val="tlid-translation"/>
          <w:rFonts w:eastAsia="Cambria"/>
        </w:rPr>
        <w:t>M</w:t>
      </w:r>
      <w:r w:rsidR="00EA5DE0" w:rsidRPr="00665747">
        <w:rPr>
          <w:rStyle w:val="tlid-translation"/>
          <w:rFonts w:eastAsia="Cambria"/>
        </w:rPr>
        <w:t xml:space="preserve">easurements are carried out under optimal repeatability conditions, </w:t>
      </w:r>
      <w:r w:rsidR="000A101E" w:rsidRPr="000A101E">
        <w:rPr>
          <w:rStyle w:val="tlid-translation"/>
          <w:rFonts w:eastAsia="Cambria"/>
          <w:i/>
        </w:rPr>
        <w:t>i.e.</w:t>
      </w:r>
      <w:r w:rsidR="00EA5DE0">
        <w:rPr>
          <w:rStyle w:val="tlid-translation"/>
          <w:rFonts w:eastAsia="Cambria"/>
        </w:rPr>
        <w:t>,</w:t>
      </w:r>
      <w:r w:rsidR="00EA5DE0" w:rsidRPr="00665747">
        <w:rPr>
          <w:rStyle w:val="tlid-translation"/>
          <w:rFonts w:eastAsia="Cambria"/>
        </w:rPr>
        <w:t xml:space="preserve"> throughout the day, on the same instrument, by the same operators, against the same calibration standards, to minimi</w:t>
      </w:r>
      <w:r w:rsidR="00EA5DE0">
        <w:rPr>
          <w:rStyle w:val="tlid-translation"/>
          <w:rFonts w:eastAsia="Cambria"/>
        </w:rPr>
        <w:t>s</w:t>
      </w:r>
      <w:r w:rsidR="00EA5DE0" w:rsidRPr="00665747">
        <w:rPr>
          <w:rStyle w:val="tlid-translation"/>
          <w:rFonts w:eastAsia="Cambria"/>
        </w:rPr>
        <w:t>e the potential impact of the measurement equipment</w:t>
      </w:r>
      <w:r w:rsidR="00091E2E">
        <w:rPr>
          <w:rStyle w:val="tlid-translation"/>
          <w:rFonts w:eastAsia="Cambria"/>
        </w:rPr>
        <w:t>’s</w:t>
      </w:r>
      <w:r w:rsidR="00EA5DE0" w:rsidRPr="00665747">
        <w:rPr>
          <w:rStyle w:val="tlid-translation"/>
          <w:rFonts w:eastAsia="Cambria"/>
        </w:rPr>
        <w:t xml:space="preserve"> instability.</w:t>
      </w:r>
      <w:r w:rsidR="00EA5DE0" w:rsidRPr="00665747">
        <w:t xml:space="preserve"> </w:t>
      </w:r>
    </w:p>
    <w:p w14:paraId="303D77F1" w14:textId="24215212" w:rsidR="00EA5DE0" w:rsidRPr="00665747" w:rsidRDefault="00EA5DE0" w:rsidP="00EA5DE0">
      <w:pPr>
        <w:pStyle w:val="Paragraph"/>
      </w:pPr>
      <w:r w:rsidRPr="00665747">
        <w:rPr>
          <w:rStyle w:val="tlid-translation"/>
          <w:rFonts w:eastAsia="Cambria"/>
        </w:rPr>
        <w:t xml:space="preserve">The selection of </w:t>
      </w:r>
      <w:r>
        <w:rPr>
          <w:rStyle w:val="tlid-translation"/>
          <w:rFonts w:eastAsia="Cambria"/>
        </w:rPr>
        <w:t>determinands</w:t>
      </w:r>
      <w:r w:rsidRPr="00665747">
        <w:rPr>
          <w:rStyle w:val="tlid-translation"/>
          <w:rFonts w:eastAsia="Cambria"/>
        </w:rPr>
        <w:t xml:space="preserve"> for the homogeneity test </w:t>
      </w:r>
      <w:r w:rsidR="00756238">
        <w:rPr>
          <w:rStyle w:val="tlid-translation"/>
          <w:rFonts w:eastAsia="Cambria"/>
        </w:rPr>
        <w:t>must</w:t>
      </w:r>
      <w:r w:rsidRPr="00665747">
        <w:rPr>
          <w:rStyle w:val="tlid-translation"/>
          <w:rFonts w:eastAsia="Cambria"/>
        </w:rPr>
        <w:t xml:space="preserve"> be carried out in such a way that the tested </w:t>
      </w:r>
      <w:r>
        <w:rPr>
          <w:rStyle w:val="tlid-translation"/>
          <w:rFonts w:eastAsia="Cambria"/>
        </w:rPr>
        <w:t>determinands</w:t>
      </w:r>
      <w:r w:rsidRPr="00665747">
        <w:rPr>
          <w:rStyle w:val="tlid-translation"/>
          <w:rFonts w:eastAsia="Cambria"/>
        </w:rPr>
        <w:t xml:space="preserve"> represent the largest possible number of </w:t>
      </w:r>
      <w:r>
        <w:rPr>
          <w:rStyle w:val="tlid-translation"/>
          <w:rFonts w:eastAsia="Cambria"/>
        </w:rPr>
        <w:t>determinands</w:t>
      </w:r>
      <w:r w:rsidRPr="00665747">
        <w:rPr>
          <w:rStyle w:val="tlid-translation"/>
          <w:rFonts w:eastAsia="Cambria"/>
        </w:rPr>
        <w:t xml:space="preserve"> to be tested in an organi</w:t>
      </w:r>
      <w:r>
        <w:rPr>
          <w:rStyle w:val="tlid-translation"/>
          <w:rFonts w:eastAsia="Cambria"/>
        </w:rPr>
        <w:t>s</w:t>
      </w:r>
      <w:r w:rsidRPr="00665747">
        <w:rPr>
          <w:rStyle w:val="tlid-translation"/>
          <w:rFonts w:eastAsia="Cambria"/>
        </w:rPr>
        <w:t>ed project.</w:t>
      </w:r>
      <w:r w:rsidRPr="00665747">
        <w:t xml:space="preserve">  </w:t>
      </w:r>
    </w:p>
    <w:p w14:paraId="412F1F0F" w14:textId="0323FEB9" w:rsidR="00EA5DE0" w:rsidRPr="00665747" w:rsidRDefault="00EA5DE0" w:rsidP="00EA5DE0">
      <w:pPr>
        <w:pStyle w:val="Paragraph"/>
      </w:pPr>
      <w:r w:rsidRPr="00665747">
        <w:rPr>
          <w:rStyle w:val="tlid-translation"/>
          <w:rFonts w:eastAsia="Cambria"/>
        </w:rPr>
        <w:t xml:space="preserve">For the assessment of homogeneity, the procedures given in ISO Guide 35 </w:t>
      </w:r>
      <w:r>
        <w:rPr>
          <w:rStyle w:val="tlid-translation"/>
          <w:rFonts w:eastAsia="Cambria"/>
        </w:rPr>
        <w:t>(ISO, 20</w:t>
      </w:r>
      <w:r w:rsidR="001406CF">
        <w:rPr>
          <w:rStyle w:val="tlid-translation"/>
          <w:rFonts w:eastAsia="Cambria"/>
        </w:rPr>
        <w:t>1</w:t>
      </w:r>
      <w:r>
        <w:rPr>
          <w:rStyle w:val="tlid-translation"/>
          <w:rFonts w:eastAsia="Cambria"/>
        </w:rPr>
        <w:t>7</w:t>
      </w:r>
      <w:r w:rsidR="00B15FC6">
        <w:rPr>
          <w:rStyle w:val="tlid-translation"/>
          <w:rFonts w:eastAsia="Cambria"/>
        </w:rPr>
        <w:t>a</w:t>
      </w:r>
      <w:r>
        <w:rPr>
          <w:rStyle w:val="tlid-translation"/>
          <w:rFonts w:eastAsia="Cambria"/>
        </w:rPr>
        <w:t>),</w:t>
      </w:r>
      <w:r w:rsidRPr="00665747">
        <w:rPr>
          <w:rStyle w:val="tlid-translation"/>
          <w:rFonts w:eastAsia="Cambria"/>
        </w:rPr>
        <w:t xml:space="preserve"> according to one-way or two-way analysis of variance </w:t>
      </w:r>
      <w:r w:rsidR="00756238">
        <w:rPr>
          <w:rStyle w:val="tlid-translation"/>
          <w:rFonts w:eastAsia="Cambria"/>
        </w:rPr>
        <w:t>are</w:t>
      </w:r>
      <w:r w:rsidRPr="00665747">
        <w:rPr>
          <w:rStyle w:val="tlid-translation"/>
          <w:rFonts w:eastAsia="Cambria"/>
        </w:rPr>
        <w:t xml:space="preserve"> used. The calculated F-test result must be less than the appropriate critical value for the selected degree</w:t>
      </w:r>
      <w:r w:rsidR="00175318">
        <w:rPr>
          <w:rStyle w:val="tlid-translation"/>
          <w:rFonts w:eastAsia="Cambria"/>
        </w:rPr>
        <w:t>s</w:t>
      </w:r>
      <w:r w:rsidRPr="00665747">
        <w:rPr>
          <w:rStyle w:val="tlid-translation"/>
          <w:rFonts w:eastAsia="Cambria"/>
        </w:rPr>
        <w:t xml:space="preserve"> of freedom and at the 95% level of confidence.</w:t>
      </w:r>
    </w:p>
    <w:p w14:paraId="47C7595E" w14:textId="40E1822B" w:rsidR="00EA5DE0" w:rsidRPr="00665747" w:rsidRDefault="00EA5DE0" w:rsidP="00EA5DE0">
      <w:pPr>
        <w:pStyle w:val="Paragraph"/>
        <w:rPr>
          <w:rStyle w:val="tlid-translation"/>
          <w:rFonts w:eastAsia="Cambria"/>
        </w:rPr>
      </w:pPr>
      <w:r w:rsidRPr="00665747">
        <w:rPr>
          <w:rStyle w:val="tlid-translation"/>
          <w:rFonts w:eastAsia="Cambria"/>
        </w:rPr>
        <w:t xml:space="preserve">The test and evaluation of homogeneity </w:t>
      </w:r>
      <w:r w:rsidR="00832149">
        <w:rPr>
          <w:rStyle w:val="tlid-translation"/>
          <w:rFonts w:eastAsia="Cambria"/>
        </w:rPr>
        <w:t>are</w:t>
      </w:r>
      <w:r w:rsidRPr="00665747">
        <w:rPr>
          <w:rStyle w:val="tlid-translation"/>
          <w:rFonts w:eastAsia="Cambria"/>
        </w:rPr>
        <w:t xml:space="preserve"> carried out </w:t>
      </w:r>
      <w:r w:rsidR="0060401A">
        <w:rPr>
          <w:rStyle w:val="tlid-translation"/>
          <w:rFonts w:eastAsia="Cambria"/>
        </w:rPr>
        <w:t>directly</w:t>
      </w:r>
      <w:r w:rsidRPr="00665747">
        <w:rPr>
          <w:rStyle w:val="tlid-translation"/>
          <w:rFonts w:eastAsia="Cambria"/>
        </w:rPr>
        <w:t xml:space="preserve"> after packaging the test material in the final form.</w:t>
      </w:r>
    </w:p>
    <w:p w14:paraId="45BC3999" w14:textId="77777777" w:rsidR="00EA5DE0" w:rsidRDefault="00EA5DE0" w:rsidP="00EA5DE0">
      <w:pPr>
        <w:pStyle w:val="Paragraph"/>
        <w:rPr>
          <w:rStyle w:val="tlid-translation"/>
          <w:rFonts w:eastAsia="Cambria"/>
        </w:rPr>
      </w:pPr>
      <w:r w:rsidRPr="00665747">
        <w:rPr>
          <w:rStyle w:val="tlid-translation"/>
          <w:rFonts w:eastAsia="Cambria"/>
        </w:rPr>
        <w:t>The following procedure is appropriate for carrying out the homogeneity assessment:</w:t>
      </w:r>
    </w:p>
    <w:p w14:paraId="60FA833D" w14:textId="77777777" w:rsidR="00EA5DE0" w:rsidRDefault="00EA5DE0" w:rsidP="00EA5DE0">
      <w:pPr>
        <w:pStyle w:val="Paragraph"/>
        <w:rPr>
          <w:rStyle w:val="tlid-translation"/>
          <w:rFonts w:eastAsia="Cambria"/>
        </w:rPr>
      </w:pPr>
    </w:p>
    <w:p w14:paraId="0589A124" w14:textId="77777777" w:rsidR="00EA5DE0" w:rsidRPr="00044314" w:rsidRDefault="0097712F" w:rsidP="00091E2E">
      <w:pPr>
        <w:pStyle w:val="ListParagraph"/>
        <w:numPr>
          <w:ilvl w:val="0"/>
          <w:numId w:val="24"/>
        </w:numPr>
        <w:spacing w:after="160" w:line="259" w:lineRule="auto"/>
        <w:ind w:left="1701" w:hanging="283"/>
        <w:rPr>
          <w:rFonts w:cs="Times New Roman"/>
          <w:szCs w:val="24"/>
        </w:rPr>
      </w:pPr>
      <w:r>
        <w:rPr>
          <w:rFonts w:cs="Times New Roman"/>
          <w:szCs w:val="24"/>
        </w:rPr>
        <w:t>R</w:t>
      </w:r>
      <w:r w:rsidR="00EA5DE0" w:rsidRPr="00044314">
        <w:rPr>
          <w:rFonts w:cs="Times New Roman"/>
          <w:szCs w:val="24"/>
        </w:rPr>
        <w:t xml:space="preserve">andom selection of </w:t>
      </w:r>
      <w:r>
        <w:rPr>
          <w:rFonts w:cs="Times New Roman"/>
          <w:szCs w:val="24"/>
        </w:rPr>
        <w:t>‘</w:t>
      </w:r>
      <w:r w:rsidR="00EA5DE0" w:rsidRPr="0097712F">
        <w:rPr>
          <w:rFonts w:cs="Times New Roman"/>
          <w:i/>
          <w:iCs/>
          <w:szCs w:val="24"/>
        </w:rPr>
        <w:t>m</w:t>
      </w:r>
      <w:r>
        <w:rPr>
          <w:rFonts w:cs="Times New Roman"/>
          <w:szCs w:val="24"/>
        </w:rPr>
        <w:t>’</w:t>
      </w:r>
      <w:r w:rsidR="00EA5DE0" w:rsidRPr="00044314">
        <w:rPr>
          <w:rFonts w:cs="Times New Roman"/>
          <w:szCs w:val="24"/>
        </w:rPr>
        <w:t xml:space="preserve"> samples from the final package where m ≥ 10</w:t>
      </w:r>
      <w:r>
        <w:rPr>
          <w:rFonts w:cs="Times New Roman"/>
          <w:szCs w:val="24"/>
        </w:rPr>
        <w:t>.</w:t>
      </w:r>
    </w:p>
    <w:p w14:paraId="0BF79DB9" w14:textId="188C8910" w:rsidR="00EA5DE0" w:rsidRPr="00044314" w:rsidRDefault="0097712F" w:rsidP="00091E2E">
      <w:pPr>
        <w:pStyle w:val="ListParagraph"/>
        <w:numPr>
          <w:ilvl w:val="0"/>
          <w:numId w:val="24"/>
        </w:numPr>
        <w:spacing w:after="160" w:line="259" w:lineRule="auto"/>
        <w:ind w:left="1701" w:hanging="283"/>
        <w:rPr>
          <w:rFonts w:cs="Times New Roman"/>
          <w:szCs w:val="24"/>
        </w:rPr>
      </w:pPr>
      <w:r>
        <w:rPr>
          <w:rFonts w:cs="Times New Roman"/>
          <w:szCs w:val="24"/>
        </w:rPr>
        <w:t>P</w:t>
      </w:r>
      <w:r w:rsidR="00EA5DE0" w:rsidRPr="00044314">
        <w:rPr>
          <w:rFonts w:cs="Times New Roman"/>
          <w:szCs w:val="24"/>
        </w:rPr>
        <w:t xml:space="preserve">reparation of two test portions from each sample </w:t>
      </w:r>
      <w:r w:rsidR="00706D86">
        <w:rPr>
          <w:rFonts w:cs="Times New Roman"/>
          <w:szCs w:val="24"/>
        </w:rPr>
        <w:t>by</w:t>
      </w:r>
      <w:r w:rsidR="00EA5DE0" w:rsidRPr="00044314">
        <w:rPr>
          <w:rFonts w:cs="Times New Roman"/>
          <w:szCs w:val="24"/>
        </w:rPr>
        <w:t xml:space="preserve"> the most appropriate method, which minimi</w:t>
      </w:r>
      <w:r w:rsidR="00EA5DE0">
        <w:rPr>
          <w:rFonts w:cs="Times New Roman"/>
          <w:szCs w:val="24"/>
        </w:rPr>
        <w:t>s</w:t>
      </w:r>
      <w:r w:rsidR="00EA5DE0" w:rsidRPr="00044314">
        <w:rPr>
          <w:rFonts w:cs="Times New Roman"/>
          <w:szCs w:val="24"/>
        </w:rPr>
        <w:t>es differences between test portions</w:t>
      </w:r>
      <w:r>
        <w:rPr>
          <w:rFonts w:cs="Times New Roman"/>
          <w:szCs w:val="24"/>
        </w:rPr>
        <w:t>.</w:t>
      </w:r>
    </w:p>
    <w:p w14:paraId="356A8C2A" w14:textId="77777777" w:rsidR="00EA5DE0" w:rsidRPr="00044314" w:rsidRDefault="0097712F" w:rsidP="00091E2E">
      <w:pPr>
        <w:pStyle w:val="ListParagraph"/>
        <w:numPr>
          <w:ilvl w:val="0"/>
          <w:numId w:val="24"/>
        </w:numPr>
        <w:spacing w:after="160" w:line="259" w:lineRule="auto"/>
        <w:ind w:left="1701" w:hanging="283"/>
        <w:rPr>
          <w:rFonts w:cs="Times New Roman"/>
          <w:szCs w:val="24"/>
        </w:rPr>
      </w:pPr>
      <w:r>
        <w:rPr>
          <w:rFonts w:cs="Times New Roman"/>
          <w:szCs w:val="24"/>
        </w:rPr>
        <w:t>M</w:t>
      </w:r>
      <w:r w:rsidR="00EA5DE0" w:rsidRPr="00044314">
        <w:rPr>
          <w:rFonts w:cs="Times New Roman"/>
          <w:szCs w:val="24"/>
        </w:rPr>
        <w:t xml:space="preserve">easure 2 </w:t>
      </w:r>
      <w:r>
        <w:rPr>
          <w:rFonts w:cs="Times New Roman"/>
          <w:szCs w:val="24"/>
        </w:rPr>
        <w:t>‘</w:t>
      </w:r>
      <w:r w:rsidRPr="0097712F">
        <w:rPr>
          <w:rFonts w:cs="Times New Roman"/>
          <w:i/>
          <w:iCs/>
          <w:szCs w:val="24"/>
        </w:rPr>
        <w:t>m</w:t>
      </w:r>
      <w:r>
        <w:rPr>
          <w:rFonts w:cs="Times New Roman"/>
          <w:szCs w:val="24"/>
        </w:rPr>
        <w:t>’</w:t>
      </w:r>
      <w:r w:rsidR="00EA5DE0" w:rsidRPr="00044314">
        <w:rPr>
          <w:rFonts w:cs="Times New Roman"/>
          <w:szCs w:val="24"/>
        </w:rPr>
        <w:t xml:space="preserve"> test aliquots for the whole series in random order under repeatability conditions, and</w:t>
      </w:r>
    </w:p>
    <w:p w14:paraId="538FE573" w14:textId="6A083B91" w:rsidR="00EA5DE0" w:rsidRPr="00044314" w:rsidRDefault="0097712F" w:rsidP="00091E2E">
      <w:pPr>
        <w:pStyle w:val="ListParagraph"/>
        <w:numPr>
          <w:ilvl w:val="0"/>
          <w:numId w:val="24"/>
        </w:numPr>
        <w:spacing w:after="160" w:line="259" w:lineRule="auto"/>
        <w:ind w:left="1701" w:hanging="283"/>
        <w:rPr>
          <w:rFonts w:cs="Times New Roman"/>
          <w:szCs w:val="24"/>
        </w:rPr>
      </w:pPr>
      <w:r>
        <w:rPr>
          <w:rFonts w:cs="Times New Roman"/>
          <w:szCs w:val="24"/>
        </w:rPr>
        <w:t>C</w:t>
      </w:r>
      <w:r w:rsidR="00EA5DE0" w:rsidRPr="00044314">
        <w:rPr>
          <w:rFonts w:cs="Times New Roman"/>
          <w:szCs w:val="24"/>
        </w:rPr>
        <w:t>alculate the arithmetic mean</w:t>
      </w:r>
      <w:r w:rsidR="0060401A">
        <w:rPr>
          <w:rFonts w:cs="Times New Roman"/>
          <w:szCs w:val="24"/>
        </w:rPr>
        <w:t>,</w:t>
      </w:r>
      <w:r w:rsidR="00EA5DE0" w:rsidRPr="00044314">
        <w:rPr>
          <w:rFonts w:cs="Times New Roman"/>
          <w:szCs w:val="24"/>
        </w:rPr>
        <w:t xml:space="preserve"> </w:t>
      </w:r>
      <w:bookmarkStart w:id="11" w:name="_Hlk94460201"/>
      <w:r w:rsidR="00EA5DE0" w:rsidRPr="00044314">
        <w:rPr>
          <w:rFonts w:cs="Times New Roman"/>
          <w:szCs w:val="24"/>
        </w:rPr>
        <w:t>x̄</w:t>
      </w:r>
      <w:bookmarkEnd w:id="11"/>
      <w:r w:rsidR="0060401A">
        <w:rPr>
          <w:rFonts w:cs="Times New Roman"/>
          <w:szCs w:val="24"/>
        </w:rPr>
        <w:t>,</w:t>
      </w:r>
      <w:r w:rsidR="00EA5DE0" w:rsidRPr="00044314">
        <w:rPr>
          <w:rFonts w:cs="Times New Roman"/>
          <w:szCs w:val="24"/>
        </w:rPr>
        <w:t xml:space="preserve"> from the measurement results, the within-unit standard deviation</w:t>
      </w:r>
      <w:r w:rsidR="0060401A">
        <w:rPr>
          <w:rFonts w:cs="Times New Roman"/>
          <w:szCs w:val="24"/>
        </w:rPr>
        <w:t>,</w:t>
      </w:r>
      <w:r w:rsidR="00EA5DE0" w:rsidRPr="00044314">
        <w:rPr>
          <w:rFonts w:cs="Times New Roman"/>
          <w:szCs w:val="24"/>
        </w:rPr>
        <w:t xml:space="preserve"> S</w:t>
      </w:r>
      <w:r w:rsidR="00EA5DE0" w:rsidRPr="009E35CA">
        <w:rPr>
          <w:rFonts w:cs="Times New Roman"/>
          <w:szCs w:val="24"/>
          <w:vertAlign w:val="subscript"/>
        </w:rPr>
        <w:t>w</w:t>
      </w:r>
      <w:r w:rsidR="00EA5DE0" w:rsidRPr="00044314">
        <w:rPr>
          <w:rFonts w:cs="Times New Roman"/>
          <w:szCs w:val="24"/>
        </w:rPr>
        <w:t xml:space="preserve">, </w:t>
      </w:r>
      <w:r w:rsidR="00ED4CEA">
        <w:rPr>
          <w:rFonts w:cs="Times New Roman"/>
          <w:szCs w:val="24"/>
        </w:rPr>
        <w:t xml:space="preserve">and </w:t>
      </w:r>
      <w:r w:rsidR="00EA5DE0" w:rsidRPr="00044314">
        <w:rPr>
          <w:rFonts w:cs="Times New Roman"/>
          <w:szCs w:val="24"/>
        </w:rPr>
        <w:t>the between-unit standard deviation</w:t>
      </w:r>
      <w:r w:rsidR="0060401A">
        <w:rPr>
          <w:rFonts w:cs="Times New Roman"/>
          <w:szCs w:val="24"/>
        </w:rPr>
        <w:t>,</w:t>
      </w:r>
      <w:r w:rsidR="00EA5DE0" w:rsidRPr="00044314">
        <w:rPr>
          <w:rFonts w:cs="Times New Roman"/>
          <w:szCs w:val="24"/>
        </w:rPr>
        <w:t xml:space="preserve"> S</w:t>
      </w:r>
      <w:r w:rsidR="00EA5DE0" w:rsidRPr="009E35CA">
        <w:rPr>
          <w:rFonts w:cs="Times New Roman"/>
          <w:szCs w:val="24"/>
          <w:vertAlign w:val="subscript"/>
        </w:rPr>
        <w:t>s</w:t>
      </w:r>
      <w:r w:rsidR="00EA5DE0" w:rsidRPr="00044314">
        <w:rPr>
          <w:rFonts w:cs="Times New Roman"/>
          <w:szCs w:val="24"/>
        </w:rPr>
        <w:t xml:space="preserve"> </w:t>
      </w:r>
      <w:r w:rsidR="00EA5DE0">
        <w:rPr>
          <w:rFonts w:cs="Times New Roman"/>
          <w:szCs w:val="24"/>
        </w:rPr>
        <w:t xml:space="preserve">(Thompson </w:t>
      </w:r>
      <w:r w:rsidR="000A101E" w:rsidRPr="000A101E">
        <w:rPr>
          <w:rFonts w:cs="Times New Roman"/>
          <w:i/>
          <w:szCs w:val="24"/>
        </w:rPr>
        <w:t>et al.</w:t>
      </w:r>
      <w:r w:rsidR="00EA5DE0">
        <w:rPr>
          <w:rFonts w:cs="Times New Roman"/>
          <w:szCs w:val="24"/>
        </w:rPr>
        <w:t>, 2006; ISO, 2014, 2015</w:t>
      </w:r>
      <w:r w:rsidR="00CA2315">
        <w:rPr>
          <w:rFonts w:cs="Times New Roman"/>
          <w:szCs w:val="24"/>
        </w:rPr>
        <w:t>, 2017</w:t>
      </w:r>
      <w:r w:rsidR="008E22DF">
        <w:rPr>
          <w:rFonts w:cs="Times New Roman"/>
          <w:szCs w:val="24"/>
        </w:rPr>
        <w:t>a</w:t>
      </w:r>
      <w:r w:rsidR="00EA5DE0">
        <w:rPr>
          <w:rFonts w:cs="Times New Roman"/>
          <w:szCs w:val="24"/>
        </w:rPr>
        <w:t>)</w:t>
      </w:r>
      <w:r w:rsidR="00EA5DE0" w:rsidRPr="00044314">
        <w:rPr>
          <w:rFonts w:cs="Times New Roman"/>
          <w:szCs w:val="24"/>
        </w:rPr>
        <w:t>.</w:t>
      </w:r>
    </w:p>
    <w:p w14:paraId="52623D79" w14:textId="5EF9776E" w:rsidR="00EA5DE0" w:rsidRPr="00665747" w:rsidRDefault="00EA5DE0" w:rsidP="00EA5DE0">
      <w:pPr>
        <w:pStyle w:val="Paragraph"/>
      </w:pPr>
      <w:r w:rsidRPr="00665747">
        <w:t xml:space="preserve">Replicate measurements </w:t>
      </w:r>
      <w:r w:rsidR="00756238">
        <w:t>are</w:t>
      </w:r>
      <w:r w:rsidRPr="00665747">
        <w:t xml:space="preserve"> performed in random order or reverse order so that drift measurements can be distinguished from any trend in the batch of samples. </w:t>
      </w:r>
    </w:p>
    <w:p w14:paraId="1DDD3CDA" w14:textId="193C8562" w:rsidR="00EA5DE0" w:rsidRPr="00665747" w:rsidRDefault="00EA5DE0" w:rsidP="00EA5DE0">
      <w:pPr>
        <w:pStyle w:val="Paragraph"/>
      </w:pPr>
      <w:r w:rsidRPr="00665747">
        <w:rPr>
          <w:rStyle w:val="tlid-translation"/>
          <w:rFonts w:eastAsia="Cambria"/>
        </w:rPr>
        <w:t xml:space="preserve">Graphic analysis reveals outliers, trends or systematic effects. Another possibility for identifying outliers is the Cochran outliers test </w:t>
      </w:r>
      <w:r>
        <w:rPr>
          <w:rStyle w:val="tlid-translation"/>
          <w:rFonts w:eastAsia="Cambria"/>
        </w:rPr>
        <w:t xml:space="preserve">(Thompson </w:t>
      </w:r>
      <w:r w:rsidR="000A101E" w:rsidRPr="000A101E">
        <w:rPr>
          <w:rStyle w:val="tlid-translation"/>
          <w:rFonts w:eastAsia="Cambria"/>
          <w:i/>
        </w:rPr>
        <w:t>et al.</w:t>
      </w:r>
      <w:r>
        <w:rPr>
          <w:rStyle w:val="tlid-translation"/>
          <w:rFonts w:eastAsia="Cambria"/>
        </w:rPr>
        <w:t>, 2006)</w:t>
      </w:r>
      <w:r w:rsidRPr="00665747">
        <w:t xml:space="preserve">. </w:t>
      </w:r>
      <w:r w:rsidRPr="00665747">
        <w:rPr>
          <w:rStyle w:val="tlid-translation"/>
          <w:rFonts w:eastAsia="Cambria"/>
        </w:rPr>
        <w:t xml:space="preserve">The measured </w:t>
      </w:r>
      <w:r>
        <w:rPr>
          <w:rStyle w:val="tlid-translation"/>
          <w:rFonts w:eastAsia="Cambria"/>
        </w:rPr>
        <w:t>determinands</w:t>
      </w:r>
      <w:r w:rsidRPr="00665747">
        <w:rPr>
          <w:rStyle w:val="tlid-translation"/>
          <w:rFonts w:eastAsia="Cambria"/>
        </w:rPr>
        <w:t xml:space="preserve"> should be evaluated to be sufficiently homogeneous </w:t>
      </w:r>
      <w:r>
        <w:rPr>
          <w:rStyle w:val="tlid-translation"/>
          <w:rFonts w:eastAsia="Cambria"/>
        </w:rPr>
        <w:t>in the</w:t>
      </w:r>
      <w:r w:rsidRPr="00665747">
        <w:rPr>
          <w:rStyle w:val="tlid-translation"/>
          <w:rFonts w:eastAsia="Cambria"/>
        </w:rPr>
        <w:t xml:space="preserve"> prepare</w:t>
      </w:r>
      <w:r>
        <w:rPr>
          <w:rStyle w:val="tlid-translation"/>
          <w:rFonts w:eastAsia="Cambria"/>
        </w:rPr>
        <w:t>d</w:t>
      </w:r>
      <w:r w:rsidRPr="00665747">
        <w:rPr>
          <w:rStyle w:val="tlid-translation"/>
          <w:rFonts w:eastAsia="Cambria"/>
        </w:rPr>
        <w:t xml:space="preserve"> RM. To use </w:t>
      </w:r>
      <w:r w:rsidR="00ED4CEA">
        <w:rPr>
          <w:rStyle w:val="tlid-translation"/>
          <w:rFonts w:eastAsia="Cambria"/>
        </w:rPr>
        <w:t>a</w:t>
      </w:r>
      <w:r w:rsidR="00832149">
        <w:rPr>
          <w:rStyle w:val="tlid-translation"/>
          <w:rFonts w:eastAsia="Cambria"/>
        </w:rPr>
        <w:t>n</w:t>
      </w:r>
      <w:r w:rsidR="00ED4CEA">
        <w:rPr>
          <w:rStyle w:val="tlid-translation"/>
          <w:rFonts w:eastAsia="Cambria"/>
        </w:rPr>
        <w:t xml:space="preserve"> </w:t>
      </w:r>
      <w:r w:rsidRPr="00665747">
        <w:rPr>
          <w:rStyle w:val="tlid-translation"/>
          <w:rFonts w:eastAsia="Cambria"/>
        </w:rPr>
        <w:t xml:space="preserve">RM, the between-unit standard deviation </w:t>
      </w:r>
      <w:r w:rsidR="00832149">
        <w:rPr>
          <w:rStyle w:val="tlid-translation"/>
          <w:rFonts w:eastAsia="Cambria"/>
        </w:rPr>
        <w:t xml:space="preserve">must be </w:t>
      </w:r>
      <w:r w:rsidRPr="00665747">
        <w:rPr>
          <w:rStyle w:val="tlid-translation"/>
          <w:rFonts w:eastAsia="Cambria"/>
        </w:rPr>
        <w:t>no more than one</w:t>
      </w:r>
      <w:r w:rsidR="00832149">
        <w:rPr>
          <w:rStyle w:val="tlid-translation"/>
          <w:rFonts w:eastAsia="Cambria"/>
        </w:rPr>
        <w:t>-</w:t>
      </w:r>
      <w:r w:rsidRPr="00665747">
        <w:rPr>
          <w:rStyle w:val="tlid-translation"/>
          <w:rFonts w:eastAsia="Cambria"/>
        </w:rPr>
        <w:t xml:space="preserve">third of the interlaboratory reproducibility standard deviation. </w:t>
      </w:r>
    </w:p>
    <w:p w14:paraId="4B742E44" w14:textId="0008C4DB" w:rsidR="00ED4CEA" w:rsidRPr="00665747" w:rsidRDefault="00D453C5" w:rsidP="00ED4CEA">
      <w:pPr>
        <w:pStyle w:val="Heading3"/>
      </w:pPr>
      <w:bookmarkStart w:id="12" w:name="_Toc106207787"/>
      <w:r>
        <w:t>5</w:t>
      </w:r>
      <w:r w:rsidR="00ED4CEA">
        <w:t xml:space="preserve">.7.1. </w:t>
      </w:r>
      <w:r w:rsidR="00ED4CEA" w:rsidRPr="00665747">
        <w:t>Within-unit homogeneity</w:t>
      </w:r>
      <w:bookmarkEnd w:id="12"/>
    </w:p>
    <w:p w14:paraId="431FD3F3" w14:textId="52EF7439" w:rsidR="00ED4CEA" w:rsidRPr="00665747" w:rsidRDefault="00ED4CEA" w:rsidP="00ED4CEA">
      <w:pPr>
        <w:pStyle w:val="BodyText"/>
      </w:pPr>
      <w:r w:rsidRPr="00665747">
        <w:t xml:space="preserve">The simplest method for testing significant within-unit heterogeneity is similar to the between-unit homogeneity study, with the difference </w:t>
      </w:r>
      <w:r w:rsidR="00F241D8">
        <w:t xml:space="preserve">being </w:t>
      </w:r>
      <w:r w:rsidRPr="00665747">
        <w:t xml:space="preserve">that the variance of interest is a member within-unit, between subsamples. From one RM unit, </w:t>
      </w:r>
      <w:r w:rsidR="00CE5A11">
        <w:t>‘</w:t>
      </w:r>
      <w:r w:rsidR="00CE5A11" w:rsidRPr="0097712F">
        <w:rPr>
          <w:i/>
          <w:iCs/>
        </w:rPr>
        <w:t>m</w:t>
      </w:r>
      <w:r w:rsidR="00CE5A11">
        <w:t>’</w:t>
      </w:r>
      <w:r w:rsidR="00CE5A11" w:rsidRPr="00044314">
        <w:t xml:space="preserve"> </w:t>
      </w:r>
      <w:r w:rsidRPr="00665747">
        <w:t>test portions are taken over the expected value of the minimum sample quantity</w:t>
      </w:r>
      <w:r w:rsidR="00EA1853">
        <w:t>,</w:t>
      </w:r>
      <w:r w:rsidRPr="00665747">
        <w:t xml:space="preserve"> and each is processed and measured n</w:t>
      </w:r>
      <w:r w:rsidRPr="00665747">
        <w:rPr>
          <w:vertAlign w:val="subscript"/>
        </w:rPr>
        <w:t>w</w:t>
      </w:r>
      <w:r w:rsidRPr="00665747">
        <w:t xml:space="preserve"> ≥ 1 times. Within-unit heterogeneity testing should provide at least 5 degrees of freedom for the within-unit term, </w:t>
      </w:r>
      <w:r w:rsidR="000A101E" w:rsidRPr="000A101E">
        <w:rPr>
          <w:i/>
        </w:rPr>
        <w:t>e.g.</w:t>
      </w:r>
      <w:r>
        <w:t>,</w:t>
      </w:r>
      <w:r w:rsidRPr="00665747">
        <w:t xml:space="preserve"> m ≥ 6 subsamples per unit shall be taken. Where a repeat analysis is performed on each subsample, analysis of variance should be used followed by an F-test for significant between-subsample variance. In a single RM unit with aliquots measured multiple times, a single-factor ANOVA may be used </w:t>
      </w:r>
      <w:r>
        <w:t>(ISO, 20</w:t>
      </w:r>
      <w:r w:rsidR="00CA2315">
        <w:t>17</w:t>
      </w:r>
      <w:r w:rsidR="008E22DF">
        <w:t>a</w:t>
      </w:r>
      <w:r>
        <w:t>)</w:t>
      </w:r>
      <w:r w:rsidRPr="00665747">
        <w:t>.</w:t>
      </w:r>
    </w:p>
    <w:p w14:paraId="3712E4AC" w14:textId="77777777" w:rsidR="00ED4CEA" w:rsidRDefault="00ED4CEA" w:rsidP="00ED4CEA">
      <w:pPr>
        <w:pStyle w:val="Paragraph"/>
      </w:pPr>
      <w:r w:rsidRPr="00665747">
        <w:t xml:space="preserve">The minimum </w:t>
      </w:r>
      <w:r>
        <w:t xml:space="preserve">amount of </w:t>
      </w:r>
      <w:r w:rsidRPr="00665747">
        <w:t>sample can be determined by an experimental study from a wi</w:t>
      </w:r>
      <w:r>
        <w:t>t</w:t>
      </w:r>
      <w:r w:rsidRPr="00665747">
        <w:t>hin-unit homogeneity test with different weights of the sample intake. It is permissible to set the minimum amount of sample</w:t>
      </w:r>
      <w:r w:rsidR="00175318">
        <w:t>,</w:t>
      </w:r>
      <w:r w:rsidRPr="00665747">
        <w:t xml:space="preserve"> based on experience or from the laboratory sampling used, which has reached acceptable precision in an interlaboratory characteri</w:t>
      </w:r>
      <w:r>
        <w:t>s</w:t>
      </w:r>
      <w:r w:rsidRPr="00665747">
        <w:t>ation.</w:t>
      </w:r>
    </w:p>
    <w:p w14:paraId="6ADB7AB1" w14:textId="76A96E6D" w:rsidR="00840B13" w:rsidRPr="00665747" w:rsidRDefault="00D453C5" w:rsidP="00840B13">
      <w:pPr>
        <w:pStyle w:val="Heading2"/>
        <w:rPr>
          <w:rStyle w:val="tlid-translation"/>
          <w:rFonts w:eastAsia="Cambria"/>
          <w:b w:val="0"/>
          <w:szCs w:val="24"/>
        </w:rPr>
      </w:pPr>
      <w:bookmarkStart w:id="13" w:name="_Toc106207788"/>
      <w:r>
        <w:lastRenderedPageBreak/>
        <w:t>5</w:t>
      </w:r>
      <w:r w:rsidR="00840B13">
        <w:t xml:space="preserve">.8. </w:t>
      </w:r>
      <w:r w:rsidR="00840B13" w:rsidRPr="00665747">
        <w:t>Stability test</w:t>
      </w:r>
      <w:bookmarkEnd w:id="13"/>
    </w:p>
    <w:p w14:paraId="00FEBAD6" w14:textId="3DF7F0BC" w:rsidR="00840B13" w:rsidRPr="00665747" w:rsidRDefault="00840B13" w:rsidP="00840B13">
      <w:pPr>
        <w:pStyle w:val="BodyText"/>
        <w:rPr>
          <w:lang w:eastAsia="sk-SK"/>
        </w:rPr>
      </w:pPr>
      <w:r w:rsidRPr="00665747">
        <w:rPr>
          <w:lang w:eastAsia="sk-SK"/>
        </w:rPr>
        <w:t xml:space="preserve">In preparing the RM, it is necessary to assess whether the stability test is necessary for all relevant properties, </w:t>
      </w:r>
      <w:r w:rsidR="000A101E" w:rsidRPr="000A101E">
        <w:rPr>
          <w:i/>
          <w:lang w:eastAsia="sk-SK"/>
        </w:rPr>
        <w:t>i.e.</w:t>
      </w:r>
      <w:r>
        <w:rPr>
          <w:lang w:eastAsia="sk-SK"/>
        </w:rPr>
        <w:t xml:space="preserve">, </w:t>
      </w:r>
      <w:r w:rsidRPr="00665747">
        <w:rPr>
          <w:lang w:eastAsia="sk-SK"/>
        </w:rPr>
        <w:t xml:space="preserve">if the conditions of packaging, storage and transport are met, to examine whether the published data in the literature for a given matrix type show stability. Experimental studies are not necessary if stability information of very similar materials stored under the same storage conditions is obtained. In principle, if there is a presumption that some form of stability assessment is necessary, approaches to confirm stability in the form of short-term and long-term stability tests should be applied </w:t>
      </w:r>
      <w:r>
        <w:rPr>
          <w:lang w:eastAsia="sk-SK"/>
        </w:rPr>
        <w:t>(ISO, 2014, 2016</w:t>
      </w:r>
      <w:r w:rsidR="00CA2315">
        <w:rPr>
          <w:lang w:eastAsia="sk-SK"/>
        </w:rPr>
        <w:t>, 2017</w:t>
      </w:r>
      <w:r w:rsidR="008E22DF">
        <w:rPr>
          <w:lang w:eastAsia="sk-SK"/>
        </w:rPr>
        <w:t>a</w:t>
      </w:r>
      <w:r>
        <w:rPr>
          <w:lang w:eastAsia="sk-SK"/>
        </w:rPr>
        <w:t>)</w:t>
      </w:r>
      <w:r w:rsidRPr="00665747">
        <w:rPr>
          <w:lang w:eastAsia="sk-SK"/>
        </w:rPr>
        <w:t xml:space="preserve">. </w:t>
      </w:r>
    </w:p>
    <w:p w14:paraId="475251D3" w14:textId="78A67A7F" w:rsidR="00840B13" w:rsidRPr="00665747" w:rsidRDefault="00840B13" w:rsidP="00840B13">
      <w:pPr>
        <w:pStyle w:val="Paragraph"/>
        <w:rPr>
          <w:lang w:eastAsia="sk-SK"/>
        </w:rPr>
      </w:pPr>
      <w:r w:rsidRPr="00665747">
        <w:rPr>
          <w:lang w:eastAsia="sk-SK"/>
        </w:rPr>
        <w:t xml:space="preserve">Tests </w:t>
      </w:r>
      <w:r w:rsidR="00641A47">
        <w:rPr>
          <w:lang w:eastAsia="sk-SK"/>
        </w:rPr>
        <w:t>must</w:t>
      </w:r>
      <w:r w:rsidRPr="00665747">
        <w:rPr>
          <w:lang w:eastAsia="sk-SK"/>
        </w:rPr>
        <w:t xml:space="preserve"> be performed on </w:t>
      </w:r>
      <w:proofErr w:type="gramStart"/>
      <w:r w:rsidRPr="00665747">
        <w:rPr>
          <w:lang w:eastAsia="sk-SK"/>
        </w:rPr>
        <w:t>a sufficient number of</w:t>
      </w:r>
      <w:proofErr w:type="gramEnd"/>
      <w:r w:rsidRPr="00665747">
        <w:rPr>
          <w:lang w:eastAsia="sk-SK"/>
        </w:rPr>
        <w:t xml:space="preserve"> units (usually at least two units) to ensure confidence in the stability of all prepared units.</w:t>
      </w:r>
      <w:r>
        <w:rPr>
          <w:lang w:eastAsia="sk-SK"/>
        </w:rPr>
        <w:t xml:space="preserve"> </w:t>
      </w:r>
      <w:r w:rsidRPr="00665747">
        <w:rPr>
          <w:lang w:eastAsia="sk-SK"/>
        </w:rPr>
        <w:t xml:space="preserve">Units for </w:t>
      </w:r>
      <w:r>
        <w:rPr>
          <w:lang w:eastAsia="sk-SK"/>
        </w:rPr>
        <w:t xml:space="preserve">the </w:t>
      </w:r>
      <w:r w:rsidRPr="00665747">
        <w:rPr>
          <w:lang w:eastAsia="sk-SK"/>
        </w:rPr>
        <w:t xml:space="preserve">stability study </w:t>
      </w:r>
      <w:r w:rsidR="00641A47">
        <w:rPr>
          <w:lang w:eastAsia="sk-SK"/>
        </w:rPr>
        <w:t>are</w:t>
      </w:r>
      <w:r w:rsidRPr="00665747">
        <w:rPr>
          <w:lang w:eastAsia="sk-SK"/>
        </w:rPr>
        <w:t xml:space="preserve"> normally selected randomly from a set of packaged units. </w:t>
      </w:r>
    </w:p>
    <w:p w14:paraId="3C19DA54" w14:textId="0F1AB161" w:rsidR="00840B13" w:rsidRPr="00665747" w:rsidRDefault="00840B13" w:rsidP="00840B13">
      <w:pPr>
        <w:pStyle w:val="Paragraph"/>
        <w:rPr>
          <w:lang w:eastAsia="sk-SK"/>
        </w:rPr>
      </w:pPr>
      <w:r w:rsidRPr="00665747">
        <w:rPr>
          <w:lang w:eastAsia="sk-SK"/>
        </w:rPr>
        <w:t>When choosing the methodology</w:t>
      </w:r>
      <w:r>
        <w:rPr>
          <w:lang w:eastAsia="sk-SK"/>
        </w:rPr>
        <w:t>,</w:t>
      </w:r>
      <w:r w:rsidRPr="00665747">
        <w:rPr>
          <w:lang w:eastAsia="sk-SK"/>
        </w:rPr>
        <w:t xml:space="preserve"> it is considered that the method has sufficiently reliable repeatability and good sensitivity. The measurement of samples </w:t>
      </w:r>
      <w:r w:rsidR="00641A47">
        <w:rPr>
          <w:lang w:eastAsia="sk-SK"/>
        </w:rPr>
        <w:t>must</w:t>
      </w:r>
      <w:r w:rsidRPr="00665747">
        <w:rPr>
          <w:lang w:eastAsia="sk-SK"/>
        </w:rPr>
        <w:t xml:space="preserve"> be performed random</w:t>
      </w:r>
      <w:r w:rsidR="001D5ADA">
        <w:rPr>
          <w:lang w:eastAsia="sk-SK"/>
        </w:rPr>
        <w:t>ly</w:t>
      </w:r>
      <w:r w:rsidRPr="00665747">
        <w:rPr>
          <w:lang w:eastAsia="sk-SK"/>
        </w:rPr>
        <w:t xml:space="preserve"> so that it is possible to distinguish the trend caused by the effect of measurement from the instability of the properties of the monitored samples. </w:t>
      </w:r>
    </w:p>
    <w:p w14:paraId="46D9A32E" w14:textId="554DFDD6" w:rsidR="00840B13" w:rsidRPr="00665747" w:rsidRDefault="00840B13" w:rsidP="00840B13">
      <w:pPr>
        <w:pStyle w:val="Paragraph"/>
        <w:rPr>
          <w:lang w:eastAsia="sk-SK"/>
        </w:rPr>
      </w:pPr>
      <w:r w:rsidRPr="00665747">
        <w:rPr>
          <w:lang w:eastAsia="sk-SK"/>
        </w:rPr>
        <w:t xml:space="preserve">The procedures </w:t>
      </w:r>
      <w:r w:rsidR="006F24F9">
        <w:rPr>
          <w:lang w:eastAsia="sk-SK"/>
        </w:rPr>
        <w:t xml:space="preserve">are </w:t>
      </w:r>
      <w:r w:rsidRPr="00665747">
        <w:rPr>
          <w:lang w:eastAsia="sk-SK"/>
        </w:rPr>
        <w:t xml:space="preserve">given in ISO Guide 35 </w:t>
      </w:r>
      <w:r w:rsidR="00175318">
        <w:rPr>
          <w:lang w:eastAsia="sk-SK"/>
        </w:rPr>
        <w:t>(</w:t>
      </w:r>
      <w:r>
        <w:rPr>
          <w:lang w:eastAsia="sk-SK"/>
        </w:rPr>
        <w:t>ISO, 20</w:t>
      </w:r>
      <w:r w:rsidR="00CA2315">
        <w:rPr>
          <w:lang w:eastAsia="sk-SK"/>
        </w:rPr>
        <w:t>1</w:t>
      </w:r>
      <w:r>
        <w:rPr>
          <w:lang w:eastAsia="sk-SK"/>
        </w:rPr>
        <w:t>7</w:t>
      </w:r>
      <w:r w:rsidR="008E22DF">
        <w:rPr>
          <w:lang w:eastAsia="sk-SK"/>
        </w:rPr>
        <w:t>a</w:t>
      </w:r>
      <w:r>
        <w:rPr>
          <w:lang w:eastAsia="sk-SK"/>
        </w:rPr>
        <w:t>)</w:t>
      </w:r>
      <w:r w:rsidRPr="00665747">
        <w:rPr>
          <w:lang w:eastAsia="sk-SK"/>
        </w:rPr>
        <w:t xml:space="preserve"> </w:t>
      </w:r>
      <w:r w:rsidR="006F24F9">
        <w:rPr>
          <w:lang w:eastAsia="sk-SK"/>
        </w:rPr>
        <w:t xml:space="preserve">and can </w:t>
      </w:r>
      <w:r w:rsidRPr="00665747">
        <w:rPr>
          <w:lang w:eastAsia="sk-SK"/>
        </w:rPr>
        <w:t>be used to assess stability.</w:t>
      </w:r>
      <w:r>
        <w:rPr>
          <w:lang w:eastAsia="sk-SK"/>
        </w:rPr>
        <w:t xml:space="preserve"> </w:t>
      </w:r>
      <w:r w:rsidRPr="00665747">
        <w:rPr>
          <w:lang w:eastAsia="sk-SK"/>
        </w:rPr>
        <w:t>The results of the stability test can contribute to the evaluation of uncertainty.</w:t>
      </w:r>
    </w:p>
    <w:p w14:paraId="2655ED4F" w14:textId="1F1CB259" w:rsidR="00840B13" w:rsidRPr="00EF62D5" w:rsidRDefault="00D453C5" w:rsidP="00EF62D5">
      <w:pPr>
        <w:pStyle w:val="Heading2"/>
      </w:pPr>
      <w:bookmarkStart w:id="14" w:name="_Toc106207789"/>
      <w:r>
        <w:t>5</w:t>
      </w:r>
      <w:r w:rsidR="00840B13" w:rsidRPr="00EF62D5">
        <w:t xml:space="preserve">.9. Characterisation </w:t>
      </w:r>
      <w:r w:rsidR="009A1D65">
        <w:t>and</w:t>
      </w:r>
      <w:r w:rsidR="00840B13" w:rsidRPr="00EF62D5">
        <w:t xml:space="preserve"> </w:t>
      </w:r>
      <w:r w:rsidR="009A1D65">
        <w:t>v</w:t>
      </w:r>
      <w:r w:rsidR="00840B13" w:rsidRPr="00EF62D5">
        <w:t xml:space="preserve">alue </w:t>
      </w:r>
      <w:r w:rsidR="009A1D65">
        <w:t>a</w:t>
      </w:r>
      <w:r w:rsidR="00840B13" w:rsidRPr="00EF62D5">
        <w:t>ssignment</w:t>
      </w:r>
      <w:bookmarkEnd w:id="14"/>
    </w:p>
    <w:p w14:paraId="497DC21F" w14:textId="2639ADC4" w:rsidR="00840B13" w:rsidRPr="00EF62D5" w:rsidRDefault="00840B13" w:rsidP="00EF62D5">
      <w:pPr>
        <w:pStyle w:val="BodyText"/>
        <w:rPr>
          <w:rStyle w:val="tlid-translation"/>
        </w:rPr>
      </w:pPr>
      <w:r w:rsidRPr="00EF62D5">
        <w:rPr>
          <w:rStyle w:val="tlid-translation"/>
        </w:rPr>
        <w:t xml:space="preserve">Matrix reference materials such as soil and sediment samples are in most cases characterised through the implementation of interlaboratory comparisons (IC). According to ISO 17034 (ISO, 2016), </w:t>
      </w:r>
      <w:r w:rsidR="006F24F9">
        <w:rPr>
          <w:rStyle w:val="tlid-translation"/>
        </w:rPr>
        <w:t xml:space="preserve">the </w:t>
      </w:r>
      <w:r w:rsidRPr="00EF62D5">
        <w:rPr>
          <w:rStyle w:val="tlid-translation"/>
        </w:rPr>
        <w:t xml:space="preserve">characterisation of </w:t>
      </w:r>
      <w:r w:rsidR="006F24F9">
        <w:rPr>
          <w:rStyle w:val="tlid-translation"/>
        </w:rPr>
        <w:t xml:space="preserve">an </w:t>
      </w:r>
      <w:r w:rsidRPr="00EF62D5">
        <w:rPr>
          <w:rStyle w:val="tlid-translation"/>
        </w:rPr>
        <w:t xml:space="preserve">RM can be accomplished by several strategies. </w:t>
      </w:r>
      <w:r w:rsidR="006F24F9">
        <w:rPr>
          <w:rStyle w:val="tlid-translation"/>
        </w:rPr>
        <w:t>A v</w:t>
      </w:r>
      <w:r w:rsidRPr="00EF62D5">
        <w:rPr>
          <w:rStyle w:val="tlid-translation"/>
        </w:rPr>
        <w:t xml:space="preserve">ariant of the procedure using two and more methods of demonstrable accuracy, and in several competent laboratories, </w:t>
      </w:r>
      <w:r w:rsidR="00BA7C30">
        <w:rPr>
          <w:rStyle w:val="tlid-translation"/>
        </w:rPr>
        <w:t>should</w:t>
      </w:r>
      <w:r w:rsidRPr="00EF62D5">
        <w:rPr>
          <w:rStyle w:val="tlid-translation"/>
        </w:rPr>
        <w:t xml:space="preserve"> be used for soil and sediment RM samples. Care must be taken in interlaboratory comparisons that at least two different measurement principles are used. The organiser of </w:t>
      </w:r>
      <w:r w:rsidR="00F95298">
        <w:rPr>
          <w:rStyle w:val="tlid-translation"/>
        </w:rPr>
        <w:t xml:space="preserve">an </w:t>
      </w:r>
      <w:r w:rsidRPr="00EF62D5">
        <w:rPr>
          <w:rStyle w:val="tlid-translation"/>
        </w:rPr>
        <w:t xml:space="preserve">IC must define the objectives of the procedure, </w:t>
      </w:r>
      <w:r w:rsidR="000A101E" w:rsidRPr="000A101E">
        <w:rPr>
          <w:rStyle w:val="tlid-translation"/>
          <w:i/>
        </w:rPr>
        <w:t>i.e.</w:t>
      </w:r>
      <w:r w:rsidRPr="00EF62D5">
        <w:rPr>
          <w:rStyle w:val="tlid-translation"/>
        </w:rPr>
        <w:t>, the various goals include method validation, proficiency testing and RM characterisation.</w:t>
      </w:r>
      <w:r w:rsidR="00EF62D5" w:rsidRPr="00EF62D5">
        <w:rPr>
          <w:rStyle w:val="tlid-translation"/>
        </w:rPr>
        <w:t xml:space="preserve"> </w:t>
      </w:r>
      <w:r w:rsidRPr="00EF62D5">
        <w:rPr>
          <w:rStyle w:val="tlid-translation"/>
        </w:rPr>
        <w:t xml:space="preserve">To ensure reliable assigning property values of RM, the IC organiser must inform participants that the </w:t>
      </w:r>
      <w:r w:rsidR="00CE5A11">
        <w:rPr>
          <w:rStyle w:val="tlid-translation"/>
        </w:rPr>
        <w:t xml:space="preserve">interlaboratory comparison </w:t>
      </w:r>
      <w:r w:rsidRPr="00EF62D5">
        <w:rPr>
          <w:rStyle w:val="tlid-translation"/>
        </w:rPr>
        <w:t xml:space="preserve">procedure will focus on characterising RM properties. </w:t>
      </w:r>
    </w:p>
    <w:p w14:paraId="788CF19B" w14:textId="6043A1FF" w:rsidR="00840B13" w:rsidRPr="00EF62D5" w:rsidRDefault="00840B13" w:rsidP="00EF62D5">
      <w:pPr>
        <w:pStyle w:val="Paragraph"/>
        <w:rPr>
          <w:rStyle w:val="tlid-translation"/>
          <w:rFonts w:eastAsia="Cambria"/>
        </w:rPr>
      </w:pPr>
      <w:r w:rsidRPr="00EF62D5">
        <w:rPr>
          <w:rStyle w:val="tlid-translation"/>
          <w:rFonts w:eastAsia="Cambria"/>
        </w:rPr>
        <w:t xml:space="preserve">Interlaboratory comparison participants are expected to have validated methods, are competent enough, </w:t>
      </w:r>
      <w:r w:rsidR="000A101E" w:rsidRPr="000A101E">
        <w:rPr>
          <w:rStyle w:val="tlid-translation"/>
          <w:rFonts w:eastAsia="Cambria"/>
          <w:i/>
        </w:rPr>
        <w:t>i.e.</w:t>
      </w:r>
      <w:r w:rsidRPr="00EF62D5">
        <w:rPr>
          <w:rStyle w:val="tlid-translation"/>
          <w:rFonts w:eastAsia="Cambria"/>
        </w:rPr>
        <w:t>, they are accredited to perform the tests for a given matrix type (ISO, 2017</w:t>
      </w:r>
      <w:r w:rsidR="00B01485">
        <w:rPr>
          <w:rStyle w:val="tlid-translation"/>
          <w:rFonts w:eastAsia="Cambria"/>
        </w:rPr>
        <w:t>b</w:t>
      </w:r>
      <w:r w:rsidRPr="00EF62D5">
        <w:rPr>
          <w:rStyle w:val="tlid-translation"/>
          <w:rFonts w:eastAsia="Cambria"/>
        </w:rPr>
        <w:t xml:space="preserve">), </w:t>
      </w:r>
      <w:r w:rsidR="00EF62D5" w:rsidRPr="00EF62D5">
        <w:rPr>
          <w:rStyle w:val="tlid-translation"/>
        </w:rPr>
        <w:t xml:space="preserve">and </w:t>
      </w:r>
      <w:r w:rsidR="00B01485">
        <w:rPr>
          <w:rStyle w:val="tlid-translation"/>
        </w:rPr>
        <w:t xml:space="preserve">to </w:t>
      </w:r>
      <w:r w:rsidRPr="00EF62D5">
        <w:rPr>
          <w:rStyle w:val="tlid-translation"/>
          <w:rFonts w:eastAsia="Cambria"/>
        </w:rPr>
        <w:t>have good Proficiency test results (ISO, 20</w:t>
      </w:r>
      <w:r w:rsidR="008E22DF">
        <w:rPr>
          <w:rStyle w:val="tlid-translation"/>
          <w:rFonts w:eastAsia="Cambria"/>
        </w:rPr>
        <w:t>17a</w:t>
      </w:r>
      <w:r w:rsidRPr="00EF62D5">
        <w:rPr>
          <w:rStyle w:val="tlid-translation"/>
          <w:rFonts w:eastAsia="Cambria"/>
        </w:rPr>
        <w:t xml:space="preserve">). An important aspect </w:t>
      </w:r>
      <w:r w:rsidR="006F24F9">
        <w:rPr>
          <w:rStyle w:val="tlid-translation"/>
          <w:rFonts w:eastAsia="Cambria"/>
        </w:rPr>
        <w:t>of</w:t>
      </w:r>
      <w:r w:rsidRPr="00EF62D5">
        <w:rPr>
          <w:rStyle w:val="tlid-translation"/>
          <w:rFonts w:eastAsia="Cambria"/>
        </w:rPr>
        <w:t xml:space="preserve"> a good evaluation of RM property values is that </w:t>
      </w:r>
      <w:r w:rsidR="001D5ADA">
        <w:rPr>
          <w:rStyle w:val="tlid-translation"/>
          <w:rFonts w:eastAsia="Cambria"/>
        </w:rPr>
        <w:t xml:space="preserve">which </w:t>
      </w:r>
      <w:r w:rsidR="005F0830">
        <w:rPr>
          <w:rStyle w:val="tlid-translation"/>
          <w:rFonts w:eastAsia="Cambria"/>
        </w:rPr>
        <w:t>has</w:t>
      </w:r>
      <w:r w:rsidRPr="00EF62D5">
        <w:rPr>
          <w:rStyle w:val="tlid-translation"/>
          <w:rFonts w:eastAsia="Cambria"/>
        </w:rPr>
        <w:t xml:space="preserve"> </w:t>
      </w:r>
      <w:proofErr w:type="gramStart"/>
      <w:r w:rsidRPr="00EF62D5">
        <w:rPr>
          <w:rStyle w:val="tlid-translation"/>
          <w:rFonts w:eastAsia="Cambria"/>
        </w:rPr>
        <w:t>a sufficient number of</w:t>
      </w:r>
      <w:proofErr w:type="gramEnd"/>
      <w:r w:rsidRPr="00EF62D5">
        <w:rPr>
          <w:rStyle w:val="tlid-translation"/>
          <w:rFonts w:eastAsia="Cambria"/>
        </w:rPr>
        <w:t xml:space="preserve"> independent data sets. The IC organiser shall provide participants with all necessary information, </w:t>
      </w:r>
      <w:r w:rsidR="00F241D8">
        <w:rPr>
          <w:rStyle w:val="tlid-translation"/>
          <w:rFonts w:eastAsia="Cambria"/>
        </w:rPr>
        <w:t xml:space="preserve">and </w:t>
      </w:r>
      <w:r w:rsidRPr="00EF62D5">
        <w:rPr>
          <w:rStyle w:val="tlid-translation"/>
          <w:rFonts w:eastAsia="Cambria"/>
        </w:rPr>
        <w:t xml:space="preserve">test instructions, such as study objective, number of samples, number of replicates, </w:t>
      </w:r>
      <w:r w:rsidR="000E1E30">
        <w:rPr>
          <w:rStyle w:val="tlid-translation"/>
          <w:rFonts w:eastAsia="Cambria"/>
        </w:rPr>
        <w:t>interlaboratory comparison</w:t>
      </w:r>
      <w:r w:rsidRPr="00EF62D5">
        <w:rPr>
          <w:rStyle w:val="tlid-translation"/>
          <w:rFonts w:eastAsia="Cambria"/>
        </w:rPr>
        <w:t xml:space="preserve"> schedule, method of reporting results according to prepared forms, </w:t>
      </w:r>
      <w:r w:rsidR="000A101E" w:rsidRPr="000A101E">
        <w:rPr>
          <w:rStyle w:val="tlid-translation"/>
          <w:rFonts w:eastAsia="Cambria"/>
          <w:i/>
        </w:rPr>
        <w:t>etc.</w:t>
      </w:r>
      <w:r w:rsidRPr="00EF62D5">
        <w:rPr>
          <w:rStyle w:val="tlid-translation"/>
          <w:rFonts w:eastAsia="Cambria"/>
        </w:rPr>
        <w:t>, which are given in more detail in ISO Guide 35 (ISO, 20</w:t>
      </w:r>
      <w:r w:rsidR="00CA2315">
        <w:rPr>
          <w:rStyle w:val="tlid-translation"/>
          <w:rFonts w:eastAsia="Cambria"/>
        </w:rPr>
        <w:t>1</w:t>
      </w:r>
      <w:r w:rsidRPr="00EF62D5">
        <w:rPr>
          <w:rStyle w:val="tlid-translation"/>
          <w:rFonts w:eastAsia="Cambria"/>
        </w:rPr>
        <w:t>7</w:t>
      </w:r>
      <w:r w:rsidR="008E22DF">
        <w:rPr>
          <w:rStyle w:val="tlid-translation"/>
          <w:rFonts w:eastAsia="Cambria"/>
        </w:rPr>
        <w:t>a</w:t>
      </w:r>
      <w:r w:rsidRPr="00EF62D5">
        <w:rPr>
          <w:rStyle w:val="tlid-translation"/>
          <w:rFonts w:eastAsia="Cambria"/>
        </w:rPr>
        <w:t xml:space="preserve">). </w:t>
      </w:r>
    </w:p>
    <w:p w14:paraId="521DB90D" w14:textId="65CEE90E" w:rsidR="00840B13" w:rsidRPr="00EF62D5" w:rsidRDefault="00840B13" w:rsidP="00EF62D5">
      <w:pPr>
        <w:pStyle w:val="Paragraph"/>
        <w:rPr>
          <w:rStyle w:val="tlid-translation"/>
          <w:rFonts w:eastAsia="Cambria"/>
        </w:rPr>
      </w:pPr>
      <w:r w:rsidRPr="00EF62D5">
        <w:rPr>
          <w:rStyle w:val="tlid-translation"/>
          <w:rFonts w:eastAsia="Cambria"/>
        </w:rPr>
        <w:t xml:space="preserve">Prior to </w:t>
      </w:r>
      <w:r w:rsidR="00F241D8">
        <w:rPr>
          <w:rStyle w:val="tlid-translation"/>
          <w:rFonts w:eastAsia="Cambria"/>
        </w:rPr>
        <w:t xml:space="preserve">the </w:t>
      </w:r>
      <w:r w:rsidRPr="00EF62D5">
        <w:rPr>
          <w:rStyle w:val="tlid-translation"/>
          <w:rFonts w:eastAsia="Cambria"/>
        </w:rPr>
        <w:t xml:space="preserve">statistical processing of data sets, </w:t>
      </w:r>
      <w:r w:rsidR="00EF62D5" w:rsidRPr="00EF62D5">
        <w:rPr>
          <w:rStyle w:val="tlid-translation"/>
          <w:rFonts w:eastAsia="Cambria"/>
        </w:rPr>
        <w:t>results</w:t>
      </w:r>
      <w:r w:rsidRPr="00EF62D5">
        <w:rPr>
          <w:rStyle w:val="tlid-translation"/>
          <w:rFonts w:eastAsia="Cambria"/>
        </w:rPr>
        <w:t xml:space="preserve"> from each participa</w:t>
      </w:r>
      <w:r w:rsidR="00BA7C30">
        <w:rPr>
          <w:rStyle w:val="tlid-translation"/>
          <w:rFonts w:eastAsia="Cambria"/>
        </w:rPr>
        <w:t>ting</w:t>
      </w:r>
      <w:r w:rsidRPr="00EF62D5">
        <w:rPr>
          <w:rStyle w:val="tlid-translation"/>
          <w:rFonts w:eastAsia="Cambria"/>
        </w:rPr>
        <w:t xml:space="preserve"> laboratory should be checked for completeness by visual inspection and graphically, assessed for basic errors, procedural errors, and evaluated for technical errors that may have arisen from the procedures used. </w:t>
      </w:r>
      <w:r w:rsidR="00BA7C30">
        <w:rPr>
          <w:rStyle w:val="tlid-translation"/>
          <w:rFonts w:eastAsia="Cambria"/>
        </w:rPr>
        <w:t>A</w:t>
      </w:r>
      <w:r w:rsidRPr="00EF62D5">
        <w:rPr>
          <w:rStyle w:val="tlid-translation"/>
          <w:rFonts w:eastAsia="Cambria"/>
        </w:rPr>
        <w:t xml:space="preserve">ppropriate statistical procedures </w:t>
      </w:r>
      <w:r w:rsidR="005953F8">
        <w:rPr>
          <w:rStyle w:val="tlid-translation"/>
          <w:rFonts w:eastAsia="Cambria"/>
        </w:rPr>
        <w:t>should be applied to</w:t>
      </w:r>
      <w:r w:rsidRPr="00EF62D5">
        <w:rPr>
          <w:rStyle w:val="tlid-translation"/>
          <w:rFonts w:eastAsia="Cambria"/>
        </w:rPr>
        <w:t xml:space="preserve"> the data set to determine outliers (ISO, 2016</w:t>
      </w:r>
      <w:r w:rsidR="00CA2315">
        <w:rPr>
          <w:rStyle w:val="tlid-translation"/>
          <w:rFonts w:eastAsia="Cambria"/>
        </w:rPr>
        <w:t xml:space="preserve">, </w:t>
      </w:r>
      <w:r w:rsidR="00CA2315" w:rsidRPr="00EF62D5">
        <w:rPr>
          <w:rStyle w:val="tlid-translation"/>
          <w:rFonts w:eastAsia="Cambria"/>
        </w:rPr>
        <w:t>20</w:t>
      </w:r>
      <w:r w:rsidR="00CA2315">
        <w:rPr>
          <w:rStyle w:val="tlid-translation"/>
          <w:rFonts w:eastAsia="Cambria"/>
        </w:rPr>
        <w:t>1</w:t>
      </w:r>
      <w:r w:rsidR="00CA2315" w:rsidRPr="00EF62D5">
        <w:rPr>
          <w:rStyle w:val="tlid-translation"/>
          <w:rFonts w:eastAsia="Cambria"/>
        </w:rPr>
        <w:t>7</w:t>
      </w:r>
      <w:r w:rsidR="008E22DF">
        <w:rPr>
          <w:rStyle w:val="tlid-translation"/>
          <w:rFonts w:eastAsia="Cambria"/>
        </w:rPr>
        <w:t>a</w:t>
      </w:r>
      <w:r w:rsidRPr="00EF62D5">
        <w:rPr>
          <w:rStyle w:val="tlid-translation"/>
          <w:rFonts w:eastAsia="Cambria"/>
        </w:rPr>
        <w:t>).</w:t>
      </w:r>
    </w:p>
    <w:p w14:paraId="5950F75F" w14:textId="6B1A376A" w:rsidR="00840B13" w:rsidRPr="00EF62D5" w:rsidRDefault="00840B13" w:rsidP="00EF62D5">
      <w:pPr>
        <w:pStyle w:val="Paragraph"/>
        <w:rPr>
          <w:rStyle w:val="tlid-translation"/>
          <w:rFonts w:eastAsia="Cambria"/>
        </w:rPr>
      </w:pPr>
      <w:r w:rsidRPr="00EF62D5">
        <w:rPr>
          <w:rStyle w:val="tlid-translation"/>
          <w:rFonts w:eastAsia="Cambria"/>
        </w:rPr>
        <w:t xml:space="preserve">An effective way to determine the RM property value is to use the </w:t>
      </w:r>
      <w:r w:rsidR="00C4572F">
        <w:rPr>
          <w:rStyle w:val="tlid-translation"/>
          <w:rFonts w:eastAsia="Cambria"/>
        </w:rPr>
        <w:t>mean</w:t>
      </w:r>
      <w:r w:rsidRPr="00EF62D5">
        <w:rPr>
          <w:rStyle w:val="tlid-translation"/>
          <w:rFonts w:eastAsia="Cambria"/>
        </w:rPr>
        <w:t xml:space="preserve"> of the laboratory averages from the results of the organised </w:t>
      </w:r>
      <w:r w:rsidR="000E1E30">
        <w:rPr>
          <w:rStyle w:val="tlid-translation"/>
          <w:rFonts w:eastAsia="Cambria"/>
        </w:rPr>
        <w:t>interlaboratory comparison</w:t>
      </w:r>
      <w:r w:rsidRPr="00EF62D5">
        <w:rPr>
          <w:rStyle w:val="tlid-translation"/>
          <w:rFonts w:eastAsia="Cambria"/>
        </w:rPr>
        <w:t xml:space="preserve"> (IAEA</w:t>
      </w:r>
      <w:r w:rsidR="00EF62D5" w:rsidRPr="00EF62D5">
        <w:rPr>
          <w:rStyle w:val="tlid-translation"/>
          <w:rFonts w:eastAsia="Cambria"/>
        </w:rPr>
        <w:t>,</w:t>
      </w:r>
      <w:r w:rsidRPr="00EF62D5">
        <w:rPr>
          <w:rStyle w:val="tlid-translation"/>
          <w:rFonts w:eastAsia="Cambria"/>
        </w:rPr>
        <w:t xml:space="preserve"> 2003</w:t>
      </w:r>
      <w:r w:rsidR="00CA2315">
        <w:rPr>
          <w:rStyle w:val="tlid-translation"/>
          <w:rFonts w:eastAsia="Cambria"/>
        </w:rPr>
        <w:t>;</w:t>
      </w:r>
      <w:r w:rsidR="00CA2315" w:rsidRPr="00CA2315">
        <w:rPr>
          <w:rStyle w:val="tlid-translation"/>
          <w:rFonts w:eastAsia="Cambria"/>
        </w:rPr>
        <w:t xml:space="preserve"> </w:t>
      </w:r>
      <w:r w:rsidR="00CA2315" w:rsidRPr="00EF62D5">
        <w:rPr>
          <w:rStyle w:val="tlid-translation"/>
          <w:rFonts w:eastAsia="Cambria"/>
        </w:rPr>
        <w:t>ISO, 20</w:t>
      </w:r>
      <w:r w:rsidR="00CA2315">
        <w:rPr>
          <w:rStyle w:val="tlid-translation"/>
          <w:rFonts w:eastAsia="Cambria"/>
        </w:rPr>
        <w:t>1</w:t>
      </w:r>
      <w:r w:rsidR="00CA2315" w:rsidRPr="00EF62D5">
        <w:rPr>
          <w:rStyle w:val="tlid-translation"/>
          <w:rFonts w:eastAsia="Cambria"/>
        </w:rPr>
        <w:t>7</w:t>
      </w:r>
      <w:r w:rsidR="008E22DF">
        <w:rPr>
          <w:rStyle w:val="tlid-translation"/>
          <w:rFonts w:eastAsia="Cambria"/>
        </w:rPr>
        <w:t>a</w:t>
      </w:r>
      <w:r w:rsidRPr="00EF62D5">
        <w:rPr>
          <w:rStyle w:val="tlid-translation"/>
          <w:rFonts w:eastAsia="Cambria"/>
        </w:rPr>
        <w:t>).</w:t>
      </w:r>
    </w:p>
    <w:p w14:paraId="122ED493" w14:textId="3DCEA804" w:rsidR="00EF62D5" w:rsidRPr="00EF62D5" w:rsidRDefault="00D453C5" w:rsidP="00EF62D5">
      <w:pPr>
        <w:pStyle w:val="Heading2"/>
      </w:pPr>
      <w:bookmarkStart w:id="15" w:name="_Toc106207790"/>
      <w:r>
        <w:rPr>
          <w:rStyle w:val="tlid-translation"/>
          <w:rFonts w:eastAsia="Cambria"/>
        </w:rPr>
        <w:t>5</w:t>
      </w:r>
      <w:r w:rsidR="00EF62D5" w:rsidRPr="00EF62D5">
        <w:rPr>
          <w:rStyle w:val="tlid-translation"/>
          <w:rFonts w:eastAsia="Cambria"/>
        </w:rPr>
        <w:t>.10. Assigned uncertainty</w:t>
      </w:r>
      <w:bookmarkEnd w:id="15"/>
    </w:p>
    <w:p w14:paraId="299DD5CF" w14:textId="305F63C4" w:rsidR="00EF62D5" w:rsidRDefault="00EF62D5" w:rsidP="00EF62D5">
      <w:pPr>
        <w:pStyle w:val="BodyText"/>
        <w:rPr>
          <w:rStyle w:val="tlid-translation"/>
        </w:rPr>
      </w:pPr>
      <w:r w:rsidRPr="00EF62D5">
        <w:rPr>
          <w:rStyle w:val="tlid-translation"/>
        </w:rPr>
        <w:t xml:space="preserve">The value of the component properties of an individual RM unit may be affected </w:t>
      </w:r>
      <w:r w:rsidR="00C4572F" w:rsidRPr="00EF62D5">
        <w:rPr>
          <w:rStyle w:val="tlid-translation"/>
        </w:rPr>
        <w:t xml:space="preserve">in principle </w:t>
      </w:r>
      <w:r w:rsidRPr="00EF62D5">
        <w:rPr>
          <w:rStyle w:val="tlid-translation"/>
        </w:rPr>
        <w:t xml:space="preserve">by the RM characterisation process, between-unit variance, </w:t>
      </w:r>
      <w:r w:rsidR="005953F8">
        <w:rPr>
          <w:rStyle w:val="tlid-translation"/>
        </w:rPr>
        <w:t xml:space="preserve">and </w:t>
      </w:r>
      <w:r w:rsidRPr="00EF62D5">
        <w:rPr>
          <w:rStyle w:val="tlid-translation"/>
        </w:rPr>
        <w:t xml:space="preserve">changes </w:t>
      </w:r>
      <w:r w:rsidR="005F0830">
        <w:rPr>
          <w:rStyle w:val="tlid-translation"/>
        </w:rPr>
        <w:t>in</w:t>
      </w:r>
      <w:r w:rsidRPr="00EF62D5">
        <w:rPr>
          <w:rStyle w:val="tlid-translation"/>
        </w:rPr>
        <w:t xml:space="preserve"> property values of RM during transport</w:t>
      </w:r>
      <w:r w:rsidR="00B863DA">
        <w:rPr>
          <w:rStyle w:val="tlid-translation"/>
        </w:rPr>
        <w:t>ation</w:t>
      </w:r>
      <w:r w:rsidRPr="00EF62D5">
        <w:rPr>
          <w:rStyle w:val="tlid-translation"/>
        </w:rPr>
        <w:t xml:space="preserve"> and storage. Adding measurement uncertainty to the RM property, better confidence in the </w:t>
      </w:r>
      <w:r w:rsidRPr="00EF62D5">
        <w:t xml:space="preserve">validity of the measured result is ensured. </w:t>
      </w:r>
      <w:r w:rsidRPr="00EF62D5">
        <w:rPr>
          <w:rStyle w:val="tlid-translation"/>
        </w:rPr>
        <w:t xml:space="preserve">According to the measurement </w:t>
      </w:r>
      <w:r w:rsidRPr="00EF62D5">
        <w:rPr>
          <w:rStyle w:val="tlid-translation"/>
        </w:rPr>
        <w:lastRenderedPageBreak/>
        <w:t xml:space="preserve">uncertainty documents (Pauwels </w:t>
      </w:r>
      <w:r w:rsidR="000A101E" w:rsidRPr="000A101E">
        <w:rPr>
          <w:rStyle w:val="tlid-translation"/>
          <w:i/>
        </w:rPr>
        <w:t>et al.</w:t>
      </w:r>
      <w:r w:rsidRPr="00EF62D5">
        <w:rPr>
          <w:rStyle w:val="tlid-translation"/>
        </w:rPr>
        <w:t xml:space="preserve">, 1998; Linsinger </w:t>
      </w:r>
      <w:r w:rsidR="000A101E" w:rsidRPr="000A101E">
        <w:rPr>
          <w:rStyle w:val="tlid-translation"/>
          <w:i/>
        </w:rPr>
        <w:t>et al.</w:t>
      </w:r>
      <w:r w:rsidRPr="00EF62D5">
        <w:rPr>
          <w:rStyle w:val="tlid-translation"/>
        </w:rPr>
        <w:t>, 2001; ISO, 20</w:t>
      </w:r>
      <w:r w:rsidR="00CA2315">
        <w:rPr>
          <w:rStyle w:val="tlid-translation"/>
        </w:rPr>
        <w:t>1</w:t>
      </w:r>
      <w:r w:rsidRPr="00EF62D5">
        <w:rPr>
          <w:rStyle w:val="tlid-translation"/>
        </w:rPr>
        <w:t>7</w:t>
      </w:r>
      <w:r w:rsidR="00225213">
        <w:rPr>
          <w:rStyle w:val="tlid-translation"/>
        </w:rPr>
        <w:t>a</w:t>
      </w:r>
      <w:r w:rsidRPr="00EF62D5">
        <w:rPr>
          <w:rStyle w:val="tlid-translation"/>
        </w:rPr>
        <w:t xml:space="preserve">; Ramsey </w:t>
      </w:r>
      <w:r w:rsidR="000A101E" w:rsidRPr="000A101E">
        <w:rPr>
          <w:rStyle w:val="tlid-translation"/>
          <w:i/>
        </w:rPr>
        <w:t>et al.</w:t>
      </w:r>
      <w:r w:rsidRPr="00EF62D5">
        <w:rPr>
          <w:rStyle w:val="tlid-translation"/>
        </w:rPr>
        <w:t xml:space="preserve">, 2019), the combined standard uncertainty of the reference material - </w:t>
      </w:r>
      <w:r w:rsidR="005953F8">
        <w:rPr>
          <w:rStyle w:val="tlid-translation"/>
        </w:rPr>
        <w:t>U</w:t>
      </w:r>
      <w:r w:rsidRPr="00B863DA">
        <w:rPr>
          <w:rStyle w:val="tlid-translation"/>
          <w:vertAlign w:val="subscript"/>
        </w:rPr>
        <w:t>RM</w:t>
      </w:r>
      <w:r w:rsidRPr="00EF62D5">
        <w:rPr>
          <w:rStyle w:val="tlid-translation"/>
        </w:rPr>
        <w:t xml:space="preserve"> can be expressed as a positive square root of the sum of the squares of each type of uncertainty - relationship:</w:t>
      </w:r>
    </w:p>
    <w:p w14:paraId="272027D7" w14:textId="77777777" w:rsidR="00EF62D5" w:rsidRPr="00EF62D5" w:rsidRDefault="00EF62D5" w:rsidP="00EF62D5">
      <w:pPr>
        <w:pStyle w:val="BodyText"/>
      </w:pPr>
    </w:p>
    <w:p w14:paraId="17A51B14" w14:textId="4553D15E" w:rsidR="00EF62D5" w:rsidRPr="00665747" w:rsidRDefault="00EF62D5" w:rsidP="00EF62D5">
      <w:pPr>
        <w:tabs>
          <w:tab w:val="num" w:pos="1956"/>
        </w:tabs>
        <w:rPr>
          <w:rFonts w:cs="Times New Roman"/>
          <w:szCs w:val="24"/>
        </w:rPr>
      </w:pPr>
      <w:r>
        <w:rPr>
          <w:rStyle w:val="tlid-translation"/>
          <w:szCs w:val="24"/>
        </w:rPr>
        <w:tab/>
      </w:r>
      <w:r w:rsidR="005953F8">
        <w:rPr>
          <w:rStyle w:val="tlid-translation"/>
          <w:szCs w:val="24"/>
        </w:rPr>
        <w:t>U</w:t>
      </w:r>
      <w:r w:rsidRPr="00665747">
        <w:rPr>
          <w:rStyle w:val="tlid-translation"/>
          <w:szCs w:val="24"/>
          <w:vertAlign w:val="subscript"/>
        </w:rPr>
        <w:t>RM</w:t>
      </w:r>
      <w:r w:rsidRPr="00665747">
        <w:rPr>
          <w:rFonts w:cs="Times New Roman"/>
          <w:szCs w:val="24"/>
        </w:rPr>
        <w:t xml:space="preserve"> = [u</w:t>
      </w:r>
      <w:r w:rsidRPr="00665747">
        <w:rPr>
          <w:rFonts w:cs="Times New Roman"/>
          <w:szCs w:val="24"/>
          <w:vertAlign w:val="superscript"/>
        </w:rPr>
        <w:t>2</w:t>
      </w:r>
      <w:r w:rsidRPr="00665747">
        <w:rPr>
          <w:rFonts w:cs="Times New Roman"/>
          <w:szCs w:val="24"/>
          <w:vertAlign w:val="subscript"/>
        </w:rPr>
        <w:t>char</w:t>
      </w:r>
      <w:r w:rsidRPr="00665747">
        <w:rPr>
          <w:rFonts w:cs="Times New Roman"/>
          <w:szCs w:val="24"/>
        </w:rPr>
        <w:t xml:space="preserve"> + u</w:t>
      </w:r>
      <w:r w:rsidRPr="00665747">
        <w:rPr>
          <w:rFonts w:cs="Times New Roman"/>
          <w:szCs w:val="24"/>
          <w:vertAlign w:val="superscript"/>
        </w:rPr>
        <w:t>2</w:t>
      </w:r>
      <w:r w:rsidRPr="00665747">
        <w:rPr>
          <w:rFonts w:cs="Times New Roman"/>
          <w:szCs w:val="24"/>
          <w:vertAlign w:val="subscript"/>
        </w:rPr>
        <w:t>bb</w:t>
      </w:r>
      <w:r w:rsidRPr="00665747">
        <w:rPr>
          <w:rFonts w:cs="Times New Roman"/>
          <w:szCs w:val="24"/>
        </w:rPr>
        <w:t xml:space="preserve"> + u</w:t>
      </w:r>
      <w:r w:rsidRPr="00665747">
        <w:rPr>
          <w:rFonts w:cs="Times New Roman"/>
          <w:szCs w:val="24"/>
          <w:vertAlign w:val="superscript"/>
        </w:rPr>
        <w:t>2</w:t>
      </w:r>
      <w:r w:rsidRPr="00665747">
        <w:rPr>
          <w:rFonts w:cs="Times New Roman"/>
          <w:szCs w:val="24"/>
          <w:vertAlign w:val="subscript"/>
        </w:rPr>
        <w:t>lts</w:t>
      </w:r>
      <w:r w:rsidRPr="00665747">
        <w:rPr>
          <w:rFonts w:cs="Times New Roman"/>
          <w:szCs w:val="24"/>
        </w:rPr>
        <w:t xml:space="preserve"> + u</w:t>
      </w:r>
      <w:r w:rsidRPr="00665747">
        <w:rPr>
          <w:rFonts w:cs="Times New Roman"/>
          <w:szCs w:val="24"/>
          <w:vertAlign w:val="superscript"/>
        </w:rPr>
        <w:t>2</w:t>
      </w:r>
      <w:r w:rsidRPr="00665747">
        <w:rPr>
          <w:rFonts w:cs="Times New Roman"/>
          <w:szCs w:val="24"/>
          <w:vertAlign w:val="subscript"/>
        </w:rPr>
        <w:t>sts</w:t>
      </w:r>
      <w:r w:rsidRPr="00665747">
        <w:rPr>
          <w:rFonts w:cs="Times New Roman"/>
          <w:szCs w:val="24"/>
        </w:rPr>
        <w:t>]</w:t>
      </w:r>
      <w:r w:rsidRPr="00665747">
        <w:rPr>
          <w:rFonts w:cs="Times New Roman"/>
          <w:szCs w:val="24"/>
          <w:vertAlign w:val="superscript"/>
        </w:rPr>
        <w:t>1/2</w:t>
      </w:r>
      <w:r w:rsidRPr="00665747">
        <w:rPr>
          <w:rFonts w:cs="Times New Roman"/>
          <w:szCs w:val="24"/>
          <w:vertAlign w:val="superscript"/>
        </w:rPr>
        <w:tab/>
      </w:r>
      <w:r w:rsidRPr="00665747">
        <w:rPr>
          <w:rFonts w:cs="Times New Roman"/>
          <w:szCs w:val="24"/>
        </w:rPr>
        <w:tab/>
      </w:r>
      <w:r w:rsidRPr="00665747">
        <w:rPr>
          <w:rFonts w:cs="Times New Roman"/>
          <w:szCs w:val="24"/>
        </w:rPr>
        <w:tab/>
      </w:r>
      <w:r w:rsidRPr="00665747">
        <w:rPr>
          <w:rFonts w:cs="Times New Roman"/>
          <w:szCs w:val="24"/>
        </w:rPr>
        <w:tab/>
      </w:r>
      <w:r>
        <w:rPr>
          <w:rFonts w:cs="Times New Roman"/>
          <w:szCs w:val="24"/>
        </w:rPr>
        <w:t xml:space="preserve">        </w:t>
      </w:r>
      <w:r w:rsidR="00CB4958">
        <w:rPr>
          <w:rFonts w:cs="Times New Roman"/>
          <w:szCs w:val="24"/>
        </w:rPr>
        <w:t xml:space="preserve">  </w:t>
      </w:r>
      <w:r w:rsidRPr="00665747">
        <w:rPr>
          <w:rFonts w:cs="Times New Roman"/>
          <w:szCs w:val="24"/>
        </w:rPr>
        <w:t>(1)</w:t>
      </w:r>
    </w:p>
    <w:p w14:paraId="340C9C0B" w14:textId="48957CDA" w:rsidR="00EF62D5" w:rsidRDefault="00E748A1" w:rsidP="00EF62D5">
      <w:pPr>
        <w:tabs>
          <w:tab w:val="num" w:pos="1956"/>
        </w:tabs>
        <w:rPr>
          <w:rFonts w:cs="Times New Roman"/>
          <w:szCs w:val="24"/>
        </w:rPr>
      </w:pPr>
      <w:r>
        <w:rPr>
          <w:rStyle w:val="tlid-translation"/>
          <w:szCs w:val="24"/>
        </w:rPr>
        <w:t>W</w:t>
      </w:r>
      <w:r w:rsidR="00EF62D5" w:rsidRPr="00665747">
        <w:rPr>
          <w:rStyle w:val="tlid-translation"/>
          <w:szCs w:val="24"/>
        </w:rPr>
        <w:t>here:</w:t>
      </w:r>
      <w:r w:rsidR="00EF62D5" w:rsidRPr="00665747">
        <w:rPr>
          <w:rFonts w:cs="Times New Roman"/>
          <w:szCs w:val="24"/>
        </w:rPr>
        <w:br/>
      </w:r>
      <w:proofErr w:type="spellStart"/>
      <w:proofErr w:type="gramStart"/>
      <w:r w:rsidR="00EF62D5" w:rsidRPr="00665747">
        <w:rPr>
          <w:rFonts w:cs="Times New Roman"/>
          <w:szCs w:val="24"/>
        </w:rPr>
        <w:t>u</w:t>
      </w:r>
      <w:r w:rsidR="00EF62D5" w:rsidRPr="00665747">
        <w:rPr>
          <w:rFonts w:cs="Times New Roman"/>
          <w:szCs w:val="24"/>
          <w:vertAlign w:val="subscript"/>
        </w:rPr>
        <w:t>char</w:t>
      </w:r>
      <w:proofErr w:type="spellEnd"/>
      <w:r w:rsidR="00EF62D5" w:rsidRPr="00665747">
        <w:rPr>
          <w:rFonts w:cs="Times New Roman"/>
          <w:szCs w:val="24"/>
          <w:vertAlign w:val="subscript"/>
        </w:rPr>
        <w:t xml:space="preserve">  </w:t>
      </w:r>
      <w:r w:rsidR="00EF62D5">
        <w:rPr>
          <w:rFonts w:cs="Times New Roman"/>
          <w:szCs w:val="24"/>
        </w:rPr>
        <w:t>=</w:t>
      </w:r>
      <w:proofErr w:type="gramEnd"/>
      <w:r w:rsidR="00EF62D5">
        <w:rPr>
          <w:rFonts w:cs="Times New Roman"/>
          <w:szCs w:val="24"/>
        </w:rPr>
        <w:t xml:space="preserve"> </w:t>
      </w:r>
      <w:r w:rsidR="00EF62D5" w:rsidRPr="00665747">
        <w:rPr>
          <w:rFonts w:cs="Times New Roman"/>
          <w:szCs w:val="24"/>
        </w:rPr>
        <w:t>uncertainty calculated from interlaboratory comparison</w:t>
      </w:r>
      <w:r w:rsidR="00EF62D5" w:rsidRPr="00665747">
        <w:rPr>
          <w:rFonts w:cs="Times New Roman"/>
          <w:szCs w:val="24"/>
        </w:rPr>
        <w:br/>
        <w:t>u</w:t>
      </w:r>
      <w:r w:rsidR="00EF62D5" w:rsidRPr="00665747">
        <w:rPr>
          <w:rFonts w:cs="Times New Roman"/>
          <w:szCs w:val="24"/>
          <w:vertAlign w:val="subscript"/>
        </w:rPr>
        <w:t>bb</w:t>
      </w:r>
      <w:r w:rsidR="00EF62D5" w:rsidRPr="00665747">
        <w:rPr>
          <w:rFonts w:cs="Times New Roman"/>
          <w:szCs w:val="24"/>
        </w:rPr>
        <w:t xml:space="preserve"> </w:t>
      </w:r>
      <w:r w:rsidR="00EF62D5">
        <w:rPr>
          <w:rFonts w:cs="Times New Roman"/>
          <w:szCs w:val="24"/>
        </w:rPr>
        <w:t xml:space="preserve"> </w:t>
      </w:r>
      <w:r w:rsidR="00EF62D5" w:rsidRPr="00665747">
        <w:rPr>
          <w:rFonts w:cs="Times New Roman"/>
          <w:szCs w:val="24"/>
        </w:rPr>
        <w:t xml:space="preserve"> </w:t>
      </w:r>
      <w:r w:rsidR="00EF62D5">
        <w:rPr>
          <w:rFonts w:cs="Times New Roman"/>
          <w:szCs w:val="24"/>
        </w:rPr>
        <w:t xml:space="preserve">= </w:t>
      </w:r>
      <w:r w:rsidR="00EF62D5" w:rsidRPr="00665747">
        <w:rPr>
          <w:rFonts w:cs="Times New Roman"/>
          <w:szCs w:val="24"/>
        </w:rPr>
        <w:t>uncertainty calculated from the inhomogeneity of the sample</w:t>
      </w:r>
      <w:r w:rsidR="00EF62D5" w:rsidRPr="00665747">
        <w:rPr>
          <w:rFonts w:cs="Times New Roman"/>
          <w:szCs w:val="24"/>
        </w:rPr>
        <w:br/>
        <w:t>u</w:t>
      </w:r>
      <w:r w:rsidR="00EF62D5" w:rsidRPr="00665747">
        <w:rPr>
          <w:rFonts w:cs="Times New Roman"/>
          <w:szCs w:val="24"/>
          <w:vertAlign w:val="subscript"/>
        </w:rPr>
        <w:t>lts</w:t>
      </w:r>
      <w:r w:rsidR="00EF62D5" w:rsidRPr="00665747">
        <w:rPr>
          <w:rFonts w:cs="Times New Roman"/>
          <w:szCs w:val="24"/>
        </w:rPr>
        <w:t xml:space="preserve"> </w:t>
      </w:r>
      <w:r w:rsidR="00EF62D5">
        <w:rPr>
          <w:rFonts w:cs="Times New Roman"/>
          <w:szCs w:val="24"/>
        </w:rPr>
        <w:t xml:space="preserve"> </w:t>
      </w:r>
      <w:r w:rsidR="00EF62D5" w:rsidRPr="00665747">
        <w:rPr>
          <w:rFonts w:cs="Times New Roman"/>
          <w:szCs w:val="24"/>
        </w:rPr>
        <w:t xml:space="preserve"> </w:t>
      </w:r>
      <w:r w:rsidR="00EF62D5">
        <w:rPr>
          <w:rFonts w:cs="Times New Roman"/>
          <w:szCs w:val="24"/>
        </w:rPr>
        <w:t xml:space="preserve">= </w:t>
      </w:r>
      <w:r w:rsidR="00EF62D5" w:rsidRPr="00665747">
        <w:rPr>
          <w:rFonts w:cs="Times New Roman"/>
          <w:szCs w:val="24"/>
        </w:rPr>
        <w:t>uncertainty regarding the instability of the test sample in the long-term stability test</w:t>
      </w:r>
      <w:r w:rsidR="00EF62D5" w:rsidRPr="00665747">
        <w:rPr>
          <w:rFonts w:cs="Times New Roman"/>
          <w:szCs w:val="24"/>
        </w:rPr>
        <w:br/>
        <w:t>u</w:t>
      </w:r>
      <w:r w:rsidR="00EF62D5" w:rsidRPr="00665747">
        <w:rPr>
          <w:rFonts w:cs="Times New Roman"/>
          <w:szCs w:val="24"/>
          <w:vertAlign w:val="subscript"/>
        </w:rPr>
        <w:t>sts</w:t>
      </w:r>
      <w:r w:rsidR="00EF62D5" w:rsidRPr="00665747">
        <w:rPr>
          <w:rFonts w:cs="Times New Roman"/>
          <w:szCs w:val="24"/>
        </w:rPr>
        <w:t xml:space="preserve"> </w:t>
      </w:r>
      <w:r w:rsidR="00EF62D5">
        <w:rPr>
          <w:rFonts w:cs="Times New Roman"/>
          <w:szCs w:val="24"/>
        </w:rPr>
        <w:t xml:space="preserve"> </w:t>
      </w:r>
      <w:r w:rsidR="00EF62D5" w:rsidRPr="00665747">
        <w:rPr>
          <w:rFonts w:cs="Times New Roman"/>
          <w:szCs w:val="24"/>
        </w:rPr>
        <w:t xml:space="preserve"> </w:t>
      </w:r>
      <w:r w:rsidR="00EF62D5">
        <w:rPr>
          <w:rFonts w:cs="Times New Roman"/>
          <w:szCs w:val="24"/>
        </w:rPr>
        <w:t xml:space="preserve">= </w:t>
      </w:r>
      <w:r w:rsidR="00EF62D5" w:rsidRPr="00665747">
        <w:rPr>
          <w:rFonts w:cs="Times New Roman"/>
          <w:szCs w:val="24"/>
        </w:rPr>
        <w:t>uncertainty regarding RM instability in the short-term stability test.</w:t>
      </w:r>
    </w:p>
    <w:p w14:paraId="62CB1A4D" w14:textId="77777777" w:rsidR="00EF62D5" w:rsidRPr="00665747" w:rsidRDefault="00EF62D5" w:rsidP="00EF62D5">
      <w:pPr>
        <w:tabs>
          <w:tab w:val="num" w:pos="1956"/>
        </w:tabs>
        <w:rPr>
          <w:rFonts w:cs="Times New Roman"/>
          <w:szCs w:val="24"/>
        </w:rPr>
      </w:pPr>
    </w:p>
    <w:p w14:paraId="24BCE0AE" w14:textId="11C0CC27" w:rsidR="00EF62D5" w:rsidRDefault="00EF62D5" w:rsidP="00EF62D5">
      <w:pPr>
        <w:pStyle w:val="Paragraph"/>
      </w:pPr>
      <w:r w:rsidRPr="00665747">
        <w:t>If, calculating the value of the RM component, the average of the data sets shows a normal distribution, the standard deviation of the mean of all data sets may be used as u</w:t>
      </w:r>
      <w:r w:rsidRPr="00665747">
        <w:rPr>
          <w:vertAlign w:val="subscript"/>
        </w:rPr>
        <w:t>char</w:t>
      </w:r>
      <w:r w:rsidRPr="00665747">
        <w:t xml:space="preserve"> - relationship </w:t>
      </w:r>
      <w:r>
        <w:t>(ISO, 20</w:t>
      </w:r>
      <w:r w:rsidR="00CA2315">
        <w:t>1</w:t>
      </w:r>
      <w:r>
        <w:t>7</w:t>
      </w:r>
      <w:r w:rsidR="006122F0">
        <w:t>a</w:t>
      </w:r>
      <w:r w:rsidRPr="00665747">
        <w:t>)</w:t>
      </w:r>
      <w:r>
        <w:t>:</w:t>
      </w:r>
    </w:p>
    <w:tbl>
      <w:tblPr>
        <w:tblW w:w="8931" w:type="dxa"/>
        <w:tblInd w:w="108" w:type="dxa"/>
        <w:tblLook w:val="04A0" w:firstRow="1" w:lastRow="0" w:firstColumn="1" w:lastColumn="0" w:noHBand="0" w:noVBand="1"/>
      </w:tblPr>
      <w:tblGrid>
        <w:gridCol w:w="3120"/>
        <w:gridCol w:w="849"/>
        <w:gridCol w:w="709"/>
        <w:gridCol w:w="4253"/>
      </w:tblGrid>
      <w:tr w:rsidR="009A7E90" w:rsidRPr="009A7E90" w14:paraId="426C202D" w14:textId="77777777" w:rsidTr="009A7E90">
        <w:trPr>
          <w:trHeight w:val="375"/>
        </w:trPr>
        <w:tc>
          <w:tcPr>
            <w:tcW w:w="3120" w:type="dxa"/>
            <w:vMerge w:val="restart"/>
            <w:tcBorders>
              <w:top w:val="nil"/>
              <w:left w:val="nil"/>
              <w:bottom w:val="nil"/>
              <w:right w:val="nil"/>
            </w:tcBorders>
            <w:shd w:val="clear" w:color="auto" w:fill="auto"/>
            <w:noWrap/>
            <w:vAlign w:val="center"/>
            <w:hideMark/>
          </w:tcPr>
          <w:p w14:paraId="2404F756" w14:textId="77777777" w:rsidR="009A7E90" w:rsidRPr="009A7E90" w:rsidRDefault="009A7E90" w:rsidP="009A7E90">
            <w:pPr>
              <w:rPr>
                <w:rFonts w:eastAsia="Times New Roman" w:cs="Times New Roman"/>
                <w:sz w:val="20"/>
                <w:szCs w:val="20"/>
                <w:lang w:eastAsia="en-GB"/>
              </w:rPr>
            </w:pPr>
          </w:p>
        </w:tc>
        <w:tc>
          <w:tcPr>
            <w:tcW w:w="849" w:type="dxa"/>
            <w:vMerge w:val="restart"/>
            <w:tcBorders>
              <w:top w:val="nil"/>
              <w:left w:val="nil"/>
              <w:bottom w:val="nil"/>
              <w:right w:val="nil"/>
            </w:tcBorders>
            <w:shd w:val="clear" w:color="auto" w:fill="auto"/>
            <w:noWrap/>
            <w:vAlign w:val="center"/>
            <w:hideMark/>
          </w:tcPr>
          <w:p w14:paraId="6D915636" w14:textId="77777777" w:rsidR="009A7E90" w:rsidRPr="009A7E90" w:rsidRDefault="009A7E90" w:rsidP="009A7E90">
            <w:pPr>
              <w:jc w:val="right"/>
              <w:rPr>
                <w:rFonts w:eastAsia="Times New Roman" w:cs="Times New Roman"/>
                <w:color w:val="000000"/>
                <w:szCs w:val="24"/>
                <w:lang w:eastAsia="en-GB"/>
              </w:rPr>
            </w:pPr>
            <w:r w:rsidRPr="009A7E90">
              <w:rPr>
                <w:rFonts w:eastAsia="Times New Roman" w:cs="Times New Roman"/>
                <w:color w:val="000000"/>
                <w:szCs w:val="24"/>
                <w:lang w:eastAsia="en-GB"/>
              </w:rPr>
              <w:t>u</w:t>
            </w:r>
            <w:r w:rsidRPr="009A7E90">
              <w:rPr>
                <w:rFonts w:eastAsia="Times New Roman" w:cs="Times New Roman"/>
                <w:color w:val="000000"/>
                <w:szCs w:val="24"/>
                <w:vertAlign w:val="subscript"/>
                <w:lang w:eastAsia="en-GB"/>
              </w:rPr>
              <w:t>char</w:t>
            </w:r>
            <w:r w:rsidRPr="009A7E90">
              <w:rPr>
                <w:rFonts w:eastAsia="Times New Roman" w:cs="Times New Roman"/>
                <w:color w:val="000000"/>
                <w:szCs w:val="24"/>
                <w:lang w:eastAsia="en-GB"/>
              </w:rPr>
              <w:t xml:space="preserve"> =</w:t>
            </w:r>
          </w:p>
        </w:tc>
        <w:tc>
          <w:tcPr>
            <w:tcW w:w="709" w:type="dxa"/>
            <w:tcBorders>
              <w:top w:val="nil"/>
              <w:left w:val="nil"/>
              <w:bottom w:val="single" w:sz="4" w:space="0" w:color="auto"/>
              <w:right w:val="nil"/>
            </w:tcBorders>
            <w:shd w:val="clear" w:color="auto" w:fill="auto"/>
            <w:noWrap/>
            <w:vAlign w:val="bottom"/>
            <w:hideMark/>
          </w:tcPr>
          <w:p w14:paraId="7BA549C1" w14:textId="77777777" w:rsidR="009A7E90" w:rsidRPr="009A7E90" w:rsidRDefault="009A7E90" w:rsidP="009A7E90">
            <w:pPr>
              <w:jc w:val="center"/>
              <w:rPr>
                <w:rFonts w:eastAsia="Times New Roman" w:cs="Times New Roman"/>
                <w:color w:val="000000"/>
                <w:szCs w:val="24"/>
                <w:lang w:eastAsia="en-GB"/>
              </w:rPr>
            </w:pPr>
            <w:r w:rsidRPr="009A7E90">
              <w:rPr>
                <w:rFonts w:eastAsia="Times New Roman" w:cs="Times New Roman"/>
                <w:color w:val="000000"/>
                <w:szCs w:val="24"/>
                <w:lang w:eastAsia="en-GB"/>
              </w:rPr>
              <w:t>S</w:t>
            </w:r>
            <w:r w:rsidRPr="009A7E90">
              <w:rPr>
                <w:rFonts w:eastAsia="Times New Roman" w:cs="Times New Roman"/>
                <w:color w:val="000000"/>
                <w:szCs w:val="24"/>
                <w:vertAlign w:val="subscript"/>
                <w:lang w:eastAsia="en-GB"/>
              </w:rPr>
              <w:t>Xp</w:t>
            </w:r>
          </w:p>
        </w:tc>
        <w:tc>
          <w:tcPr>
            <w:tcW w:w="4253" w:type="dxa"/>
            <w:vMerge w:val="restart"/>
            <w:tcBorders>
              <w:top w:val="nil"/>
              <w:left w:val="nil"/>
              <w:bottom w:val="nil"/>
              <w:right w:val="nil"/>
            </w:tcBorders>
            <w:shd w:val="clear" w:color="auto" w:fill="auto"/>
            <w:noWrap/>
            <w:vAlign w:val="center"/>
            <w:hideMark/>
          </w:tcPr>
          <w:p w14:paraId="0F0B5FEF" w14:textId="77777777" w:rsidR="009A7E90" w:rsidRPr="009A7E90" w:rsidRDefault="009A7E90" w:rsidP="009A7E90">
            <w:pPr>
              <w:jc w:val="right"/>
              <w:rPr>
                <w:rFonts w:eastAsia="Times New Roman" w:cs="Times New Roman"/>
                <w:color w:val="000000"/>
                <w:szCs w:val="24"/>
                <w:lang w:eastAsia="en-GB"/>
              </w:rPr>
            </w:pPr>
            <w:r>
              <w:rPr>
                <w:rFonts w:eastAsia="Times New Roman" w:cs="Times New Roman"/>
                <w:color w:val="000000"/>
                <w:szCs w:val="24"/>
                <w:lang w:eastAsia="en-GB"/>
              </w:rPr>
              <w:t>(2)</w:t>
            </w:r>
          </w:p>
        </w:tc>
      </w:tr>
      <w:tr w:rsidR="009A7E90" w:rsidRPr="009A7E90" w14:paraId="18B0084E" w14:textId="77777777" w:rsidTr="009A7E90">
        <w:trPr>
          <w:trHeight w:val="315"/>
        </w:trPr>
        <w:tc>
          <w:tcPr>
            <w:tcW w:w="3120" w:type="dxa"/>
            <w:vMerge/>
            <w:tcBorders>
              <w:top w:val="nil"/>
              <w:left w:val="nil"/>
              <w:bottom w:val="nil"/>
              <w:right w:val="nil"/>
            </w:tcBorders>
            <w:vAlign w:val="center"/>
            <w:hideMark/>
          </w:tcPr>
          <w:p w14:paraId="491B3BB5" w14:textId="77777777" w:rsidR="009A7E90" w:rsidRPr="009A7E90" w:rsidRDefault="009A7E90" w:rsidP="009A7E90">
            <w:pPr>
              <w:rPr>
                <w:rFonts w:eastAsia="Times New Roman" w:cs="Times New Roman"/>
                <w:sz w:val="20"/>
                <w:szCs w:val="20"/>
                <w:lang w:eastAsia="en-GB"/>
              </w:rPr>
            </w:pPr>
          </w:p>
        </w:tc>
        <w:tc>
          <w:tcPr>
            <w:tcW w:w="849" w:type="dxa"/>
            <w:vMerge/>
            <w:tcBorders>
              <w:top w:val="nil"/>
              <w:left w:val="nil"/>
              <w:bottom w:val="nil"/>
              <w:right w:val="nil"/>
            </w:tcBorders>
            <w:vAlign w:val="center"/>
            <w:hideMark/>
          </w:tcPr>
          <w:p w14:paraId="34CE7508" w14:textId="77777777" w:rsidR="009A7E90" w:rsidRPr="009A7E90" w:rsidRDefault="009A7E90" w:rsidP="009A7E90">
            <w:pPr>
              <w:rPr>
                <w:rFonts w:eastAsia="Times New Roman" w:cs="Times New Roman"/>
                <w:color w:val="000000"/>
                <w:szCs w:val="24"/>
                <w:lang w:eastAsia="en-GB"/>
              </w:rPr>
            </w:pPr>
          </w:p>
        </w:tc>
        <w:tc>
          <w:tcPr>
            <w:tcW w:w="709" w:type="dxa"/>
            <w:tcBorders>
              <w:top w:val="nil"/>
              <w:left w:val="nil"/>
              <w:bottom w:val="nil"/>
              <w:right w:val="nil"/>
            </w:tcBorders>
            <w:shd w:val="clear" w:color="auto" w:fill="auto"/>
            <w:noWrap/>
            <w:vAlign w:val="bottom"/>
            <w:hideMark/>
          </w:tcPr>
          <w:p w14:paraId="6F6C8B6C" w14:textId="77777777" w:rsidR="009A7E90" w:rsidRPr="009A7E90" w:rsidRDefault="009A7E90" w:rsidP="009A7E90">
            <w:pPr>
              <w:jc w:val="center"/>
              <w:rPr>
                <w:rFonts w:eastAsia="Times New Roman" w:cs="Times New Roman"/>
                <w:color w:val="000000"/>
                <w:szCs w:val="24"/>
                <w:lang w:eastAsia="en-GB"/>
              </w:rPr>
            </w:pPr>
            <w:r w:rsidRPr="009A7E90">
              <w:rPr>
                <w:rFonts w:ascii="Calibri" w:eastAsia="Times New Roman" w:hAnsi="Calibri" w:cs="Calibri"/>
                <w:color w:val="000000"/>
                <w:szCs w:val="24"/>
                <w:lang w:eastAsia="en-GB"/>
              </w:rPr>
              <w:t>√</w:t>
            </w:r>
            <w:r w:rsidRPr="009A7E90">
              <w:rPr>
                <w:rFonts w:eastAsia="Times New Roman" w:cs="Times New Roman"/>
                <w:color w:val="000000"/>
                <w:szCs w:val="24"/>
                <w:lang w:eastAsia="en-GB"/>
              </w:rPr>
              <w:t>p</w:t>
            </w:r>
          </w:p>
        </w:tc>
        <w:tc>
          <w:tcPr>
            <w:tcW w:w="4253" w:type="dxa"/>
            <w:vMerge/>
            <w:tcBorders>
              <w:top w:val="nil"/>
              <w:left w:val="nil"/>
              <w:bottom w:val="nil"/>
              <w:right w:val="nil"/>
            </w:tcBorders>
            <w:vAlign w:val="center"/>
            <w:hideMark/>
          </w:tcPr>
          <w:p w14:paraId="322D8E12" w14:textId="77777777" w:rsidR="009A7E90" w:rsidRPr="009A7E90" w:rsidRDefault="009A7E90" w:rsidP="009A7E90">
            <w:pPr>
              <w:rPr>
                <w:rFonts w:eastAsia="Times New Roman" w:cs="Times New Roman"/>
                <w:color w:val="000000"/>
                <w:szCs w:val="24"/>
                <w:lang w:eastAsia="en-GB"/>
              </w:rPr>
            </w:pPr>
          </w:p>
        </w:tc>
      </w:tr>
    </w:tbl>
    <w:p w14:paraId="65283615" w14:textId="34B230FE" w:rsidR="009A7E90" w:rsidRDefault="00E748A1" w:rsidP="00EF62D5">
      <w:pPr>
        <w:rPr>
          <w:rFonts w:cs="Times New Roman"/>
          <w:szCs w:val="24"/>
        </w:rPr>
      </w:pPr>
      <w:r>
        <w:rPr>
          <w:rFonts w:cs="Times New Roman"/>
          <w:szCs w:val="24"/>
        </w:rPr>
        <w:t>Where:</w:t>
      </w:r>
    </w:p>
    <w:p w14:paraId="52AFA8EE" w14:textId="3B93DF2A" w:rsidR="00EF62D5" w:rsidRPr="00665747" w:rsidRDefault="00EF62D5" w:rsidP="00EF62D5">
      <w:pPr>
        <w:rPr>
          <w:rFonts w:cs="Times New Roman"/>
          <w:szCs w:val="24"/>
        </w:rPr>
      </w:pPr>
      <w:r w:rsidRPr="00665747">
        <w:rPr>
          <w:rFonts w:cs="Times New Roman"/>
          <w:szCs w:val="24"/>
        </w:rPr>
        <w:t>S</w:t>
      </w:r>
      <w:r w:rsidRPr="00665747">
        <w:rPr>
          <w:rFonts w:cs="Times New Roman"/>
          <w:szCs w:val="24"/>
          <w:vertAlign w:val="subscript"/>
        </w:rPr>
        <w:t>Xp</w:t>
      </w:r>
      <w:r w:rsidRPr="00665747">
        <w:rPr>
          <w:rFonts w:cs="Times New Roman"/>
          <w:szCs w:val="24"/>
        </w:rPr>
        <w:t xml:space="preserve"> </w:t>
      </w:r>
      <w:r>
        <w:rPr>
          <w:rFonts w:cs="Times New Roman"/>
          <w:szCs w:val="24"/>
        </w:rPr>
        <w:t>=</w:t>
      </w:r>
      <w:r w:rsidRPr="00665747">
        <w:rPr>
          <w:rFonts w:cs="Times New Roman"/>
          <w:szCs w:val="24"/>
        </w:rPr>
        <w:t xml:space="preserve"> standard deviation of the mean</w:t>
      </w:r>
    </w:p>
    <w:p w14:paraId="37F0A27B" w14:textId="77777777" w:rsidR="00EF62D5" w:rsidRPr="00665747" w:rsidRDefault="00EF62D5" w:rsidP="00EF62D5">
      <w:pPr>
        <w:rPr>
          <w:rFonts w:cs="Times New Roman"/>
          <w:szCs w:val="24"/>
        </w:rPr>
      </w:pPr>
      <w:r w:rsidRPr="00665747">
        <w:rPr>
          <w:rStyle w:val="tlid-translation"/>
          <w:szCs w:val="24"/>
        </w:rPr>
        <w:t>X</w:t>
      </w:r>
      <w:r w:rsidRPr="00665747">
        <w:rPr>
          <w:rStyle w:val="tlid-translation"/>
          <w:szCs w:val="24"/>
          <w:vertAlign w:val="subscript"/>
        </w:rPr>
        <w:t>P</w:t>
      </w:r>
      <w:r w:rsidRPr="00665747">
        <w:rPr>
          <w:rStyle w:val="tlid-translation"/>
          <w:szCs w:val="24"/>
        </w:rPr>
        <w:t xml:space="preserve"> </w:t>
      </w:r>
      <w:r>
        <w:rPr>
          <w:rStyle w:val="tlid-translation"/>
          <w:szCs w:val="24"/>
        </w:rPr>
        <w:t xml:space="preserve"> =</w:t>
      </w:r>
      <w:r w:rsidRPr="00665747">
        <w:rPr>
          <w:rStyle w:val="tlid-translation"/>
          <w:szCs w:val="24"/>
        </w:rPr>
        <w:t xml:space="preserve"> total arithmetic mean of laboratory averages</w:t>
      </w:r>
    </w:p>
    <w:p w14:paraId="2596115E" w14:textId="77777777" w:rsidR="00EF62D5" w:rsidRPr="00665747" w:rsidRDefault="009A7E90" w:rsidP="00EF62D5">
      <w:pPr>
        <w:rPr>
          <w:rFonts w:cs="Times New Roman"/>
          <w:szCs w:val="24"/>
        </w:rPr>
      </w:pPr>
      <w:r>
        <w:rPr>
          <w:rFonts w:cs="Times New Roman"/>
          <w:szCs w:val="24"/>
        </w:rPr>
        <w:t>√</w:t>
      </w:r>
      <w:r w:rsidR="00EF62D5" w:rsidRPr="00665747">
        <w:rPr>
          <w:rFonts w:cs="Times New Roman"/>
          <w:szCs w:val="24"/>
        </w:rPr>
        <w:t xml:space="preserve">p </w:t>
      </w:r>
      <w:r w:rsidR="00EF62D5">
        <w:rPr>
          <w:rFonts w:cs="Times New Roman"/>
          <w:szCs w:val="24"/>
        </w:rPr>
        <w:t xml:space="preserve"> =</w:t>
      </w:r>
      <w:r w:rsidR="00EF62D5" w:rsidRPr="00665747">
        <w:rPr>
          <w:rFonts w:cs="Times New Roman"/>
          <w:szCs w:val="24"/>
        </w:rPr>
        <w:t xml:space="preserve"> </w:t>
      </w:r>
      <w:r>
        <w:rPr>
          <w:rFonts w:cs="Times New Roman"/>
          <w:szCs w:val="24"/>
        </w:rPr>
        <w:t xml:space="preserve">square root of </w:t>
      </w:r>
      <w:r w:rsidR="00EF62D5" w:rsidRPr="00665747">
        <w:rPr>
          <w:rFonts w:cs="Times New Roman"/>
          <w:snapToGrid w:val="0"/>
          <w:szCs w:val="24"/>
        </w:rPr>
        <w:t>data set (</w:t>
      </w:r>
      <w:r w:rsidR="00EF62D5" w:rsidRPr="00665747">
        <w:rPr>
          <w:rStyle w:val="tlid-translation"/>
          <w:szCs w:val="24"/>
        </w:rPr>
        <w:t>total number of laboratories</w:t>
      </w:r>
      <w:r w:rsidR="00EF62D5" w:rsidRPr="00665747">
        <w:rPr>
          <w:rFonts w:cs="Times New Roman"/>
          <w:snapToGrid w:val="0"/>
          <w:szCs w:val="24"/>
        </w:rPr>
        <w:t>)</w:t>
      </w:r>
      <w:r w:rsidR="004B0069">
        <w:rPr>
          <w:rFonts w:cs="Times New Roman"/>
          <w:snapToGrid w:val="0"/>
          <w:szCs w:val="24"/>
        </w:rPr>
        <w:t>.</w:t>
      </w:r>
    </w:p>
    <w:p w14:paraId="0924FDF9" w14:textId="5E6268E9" w:rsidR="00F85B81" w:rsidRPr="00665747" w:rsidRDefault="00D453C5" w:rsidP="00F85B81">
      <w:pPr>
        <w:pStyle w:val="Heading2"/>
      </w:pPr>
      <w:bookmarkStart w:id="16" w:name="_Toc106207791"/>
      <w:r>
        <w:t>5</w:t>
      </w:r>
      <w:r w:rsidR="00F85B81">
        <w:t xml:space="preserve">.11. </w:t>
      </w:r>
      <w:r w:rsidR="00F85B81" w:rsidRPr="00665747">
        <w:t xml:space="preserve">Documentation </w:t>
      </w:r>
      <w:r w:rsidR="00FB63F7">
        <w:t>and i</w:t>
      </w:r>
      <w:r w:rsidR="00F85B81" w:rsidRPr="00665747">
        <w:t>nformation</w:t>
      </w:r>
      <w:bookmarkEnd w:id="16"/>
      <w:r w:rsidR="00F85B81" w:rsidRPr="00665747">
        <w:t xml:space="preserve"> </w:t>
      </w:r>
    </w:p>
    <w:p w14:paraId="6B2FDD1F" w14:textId="6D4C9AD4" w:rsidR="00F85B81" w:rsidRPr="00665747" w:rsidRDefault="00D453C5" w:rsidP="00F85B81">
      <w:pPr>
        <w:pStyle w:val="Heading3"/>
      </w:pPr>
      <w:bookmarkStart w:id="17" w:name="_Toc106207792"/>
      <w:r>
        <w:t>5</w:t>
      </w:r>
      <w:r w:rsidR="00F85B81">
        <w:t xml:space="preserve">.11.1. </w:t>
      </w:r>
      <w:r w:rsidR="00F85B81" w:rsidRPr="00665747">
        <w:t>Expiry date</w:t>
      </w:r>
      <w:bookmarkEnd w:id="17"/>
    </w:p>
    <w:p w14:paraId="2642D9C9" w14:textId="1F6B8356" w:rsidR="00F85B81" w:rsidRPr="00665747" w:rsidRDefault="00F85B81" w:rsidP="00F85B81">
      <w:pPr>
        <w:pStyle w:val="BodyText"/>
      </w:pPr>
      <w:r w:rsidRPr="00665747">
        <w:t>Each prepared RM</w:t>
      </w:r>
      <w:r w:rsidR="005953F8">
        <w:t xml:space="preserve"> </w:t>
      </w:r>
      <w:r w:rsidRPr="00665747">
        <w:t>should have a specified expiration date. Its determination should be based on experience with RMs having the same matrix and property values and information.</w:t>
      </w:r>
    </w:p>
    <w:p w14:paraId="6DA9C0AB" w14:textId="5511EE32" w:rsidR="00F85B81" w:rsidRPr="00665747" w:rsidRDefault="00D453C5" w:rsidP="00F85B81">
      <w:pPr>
        <w:pStyle w:val="Heading3"/>
      </w:pPr>
      <w:bookmarkStart w:id="18" w:name="_Toc106207793"/>
      <w:r>
        <w:t>5</w:t>
      </w:r>
      <w:r w:rsidR="00F85B81">
        <w:t xml:space="preserve">.11.2. </w:t>
      </w:r>
      <w:r w:rsidR="00F85B81" w:rsidRPr="00665747">
        <w:t>Storage</w:t>
      </w:r>
      <w:r w:rsidR="00C54C15">
        <w:t xml:space="preserve"> and</w:t>
      </w:r>
      <w:r w:rsidR="00F85B81" w:rsidRPr="00665747">
        <w:t xml:space="preserve"> transportation </w:t>
      </w:r>
      <w:r w:rsidR="00C54C15">
        <w:t xml:space="preserve">of </w:t>
      </w:r>
      <w:r w:rsidR="00F85B81" w:rsidRPr="00665747">
        <w:t>RM</w:t>
      </w:r>
      <w:bookmarkEnd w:id="18"/>
    </w:p>
    <w:p w14:paraId="2451595B" w14:textId="38A83BB5" w:rsidR="00F85B81" w:rsidRDefault="00F85B81" w:rsidP="00F85B81">
      <w:pPr>
        <w:pStyle w:val="BodyText"/>
      </w:pPr>
      <w:r w:rsidRPr="00665747">
        <w:t xml:space="preserve">The prepared RM should be stored under conditions that do not alter </w:t>
      </w:r>
      <w:r>
        <w:t>its</w:t>
      </w:r>
      <w:r w:rsidRPr="00665747">
        <w:t xml:space="preserve"> properties. The </w:t>
      </w:r>
      <w:r>
        <w:t>normal</w:t>
      </w:r>
      <w:r w:rsidRPr="00665747">
        <w:t xml:space="preserve"> temperature for soil</w:t>
      </w:r>
      <w:r w:rsidR="005953F8">
        <w:t>,</w:t>
      </w:r>
      <w:r w:rsidRPr="00665747">
        <w:t xml:space="preserve"> sediment </w:t>
      </w:r>
      <w:r w:rsidR="005953F8">
        <w:t xml:space="preserve">and rock </w:t>
      </w:r>
      <w:r w:rsidRPr="00665747">
        <w:t>is ambient</w:t>
      </w:r>
      <w:r>
        <w:t>. T</w:t>
      </w:r>
      <w:r w:rsidRPr="00665747">
        <w:t xml:space="preserve">he stored </w:t>
      </w:r>
      <w:r w:rsidR="005953F8">
        <w:t xml:space="preserve">RM </w:t>
      </w:r>
      <w:r w:rsidRPr="00665747">
        <w:t xml:space="preserve">samples should be kept away from heat, light, </w:t>
      </w:r>
      <w:r w:rsidR="00AE68F1">
        <w:t xml:space="preserve">and </w:t>
      </w:r>
      <w:r w:rsidRPr="00665747">
        <w:t>moisture</w:t>
      </w:r>
      <w:r w:rsidR="00AE68F1">
        <w:t>,</w:t>
      </w:r>
      <w:r w:rsidRPr="00665747">
        <w:t xml:space="preserve"> and the packages must be securely sealed. The RM long-term storage area should be monitored for changes in storage conditions</w:t>
      </w:r>
      <w:r w:rsidR="00E748A1">
        <w:t>,</w:t>
      </w:r>
      <w:r w:rsidRPr="00665747">
        <w:t xml:space="preserve"> and </w:t>
      </w:r>
      <w:r w:rsidR="00E748A1">
        <w:t xml:space="preserve">it is also necessary to </w:t>
      </w:r>
      <w:r w:rsidR="00AE68F1">
        <w:t>assess the</w:t>
      </w:r>
      <w:r w:rsidRPr="00665747">
        <w:t xml:space="preserve"> continued fitness</w:t>
      </w:r>
      <w:r>
        <w:t>-</w:t>
      </w:r>
      <w:r w:rsidRPr="00665747">
        <w:t>for</w:t>
      </w:r>
      <w:r>
        <w:t>-</w:t>
      </w:r>
      <w:r w:rsidRPr="00665747">
        <w:t>purpose of the material</w:t>
      </w:r>
      <w:r>
        <w:t>.</w:t>
      </w:r>
    </w:p>
    <w:p w14:paraId="5FDDCE00" w14:textId="12DA308D" w:rsidR="00F85B81" w:rsidRPr="00F85B81" w:rsidRDefault="00D453C5" w:rsidP="00F85B81">
      <w:pPr>
        <w:pStyle w:val="Heading3"/>
        <w:rPr>
          <w:rStyle w:val="tlid-translation"/>
          <w:rFonts w:eastAsia="Cambria"/>
        </w:rPr>
      </w:pPr>
      <w:bookmarkStart w:id="19" w:name="_Toc106207794"/>
      <w:r>
        <w:rPr>
          <w:rStyle w:val="tlid-translation"/>
          <w:rFonts w:eastAsia="Cambria"/>
        </w:rPr>
        <w:t>5</w:t>
      </w:r>
      <w:r w:rsidR="00F85B81" w:rsidRPr="00F85B81">
        <w:rPr>
          <w:rStyle w:val="tlid-translation"/>
          <w:rFonts w:eastAsia="Cambria"/>
        </w:rPr>
        <w:t>.11.3. Documentation</w:t>
      </w:r>
      <w:r w:rsidR="00BA7C30">
        <w:rPr>
          <w:rStyle w:val="tlid-translation"/>
          <w:rFonts w:eastAsia="Cambria"/>
        </w:rPr>
        <w:t xml:space="preserve"> and usage</w:t>
      </w:r>
      <w:r w:rsidR="00F85B81" w:rsidRPr="00F85B81">
        <w:rPr>
          <w:rStyle w:val="tlid-translation"/>
          <w:rFonts w:eastAsia="Cambria"/>
        </w:rPr>
        <w:t xml:space="preserve"> of RM</w:t>
      </w:r>
      <w:bookmarkEnd w:id="19"/>
    </w:p>
    <w:p w14:paraId="5B34BCF3" w14:textId="77777777" w:rsidR="00F85B81" w:rsidRDefault="00F85B81" w:rsidP="00F85B81">
      <w:pPr>
        <w:pStyle w:val="BodyText"/>
      </w:pPr>
      <w:r w:rsidRPr="00665747">
        <w:t xml:space="preserve">Documentation from RM preparation should be available, containing </w:t>
      </w:r>
      <w:r w:rsidR="00BA7C30">
        <w:t xml:space="preserve">all </w:t>
      </w:r>
      <w:r w:rsidRPr="00665747">
        <w:t xml:space="preserve">necessary information and instructions for </w:t>
      </w:r>
      <w:r>
        <w:t>its</w:t>
      </w:r>
      <w:r w:rsidRPr="00665747">
        <w:t xml:space="preserve"> use </w:t>
      </w:r>
      <w:r>
        <w:t>(ISO, 2014, 2016)</w:t>
      </w:r>
      <w:r w:rsidRPr="00665747">
        <w:t>:</w:t>
      </w:r>
    </w:p>
    <w:p w14:paraId="1141A626" w14:textId="77777777" w:rsidR="00F85B81" w:rsidRPr="00665747" w:rsidRDefault="00F85B81" w:rsidP="00F85B81">
      <w:pPr>
        <w:pStyle w:val="BodyText"/>
      </w:pPr>
    </w:p>
    <w:p w14:paraId="1E8FBA8D" w14:textId="77777777" w:rsidR="00F85B81" w:rsidRPr="00F85B81" w:rsidRDefault="00FB63F7" w:rsidP="00F85B81">
      <w:pPr>
        <w:numPr>
          <w:ilvl w:val="0"/>
          <w:numId w:val="26"/>
        </w:numPr>
        <w:ind w:left="567" w:hanging="207"/>
      </w:pPr>
      <w:r w:rsidRPr="00F85B81">
        <w:t>N</w:t>
      </w:r>
      <w:r w:rsidR="00F85B81" w:rsidRPr="00F85B81">
        <w:t>ame and description of RM</w:t>
      </w:r>
    </w:p>
    <w:p w14:paraId="0AF47649" w14:textId="77777777" w:rsidR="00F85B81" w:rsidRPr="00F85B81" w:rsidRDefault="00FB63F7" w:rsidP="00F85B81">
      <w:pPr>
        <w:numPr>
          <w:ilvl w:val="0"/>
          <w:numId w:val="26"/>
        </w:numPr>
        <w:ind w:left="567" w:hanging="207"/>
      </w:pPr>
      <w:r w:rsidRPr="00F85B81">
        <w:t>B</w:t>
      </w:r>
      <w:r w:rsidR="00F85B81" w:rsidRPr="00F85B81">
        <w:t>atch number</w:t>
      </w:r>
    </w:p>
    <w:p w14:paraId="5F6A97CC" w14:textId="77777777" w:rsidR="00F85B81" w:rsidRPr="00F85B81" w:rsidRDefault="00FB63F7" w:rsidP="00F85B81">
      <w:pPr>
        <w:numPr>
          <w:ilvl w:val="0"/>
          <w:numId w:val="26"/>
        </w:numPr>
        <w:ind w:left="567" w:hanging="207"/>
      </w:pPr>
      <w:r w:rsidRPr="00F85B81">
        <w:t>D</w:t>
      </w:r>
      <w:r w:rsidR="00F85B81" w:rsidRPr="00F85B81">
        <w:t>ate of preparation</w:t>
      </w:r>
    </w:p>
    <w:p w14:paraId="174E5FAD" w14:textId="77777777" w:rsidR="00F85B81" w:rsidRPr="00F85B81" w:rsidRDefault="00FB63F7" w:rsidP="00F85B81">
      <w:pPr>
        <w:numPr>
          <w:ilvl w:val="0"/>
          <w:numId w:val="26"/>
        </w:numPr>
        <w:ind w:left="567" w:hanging="207"/>
      </w:pPr>
      <w:r w:rsidRPr="00F85B81">
        <w:t>E</w:t>
      </w:r>
      <w:r w:rsidR="00F85B81" w:rsidRPr="00F85B81">
        <w:t>xpiration date</w:t>
      </w:r>
    </w:p>
    <w:p w14:paraId="34B93F46" w14:textId="77777777" w:rsidR="00F85B81" w:rsidRPr="00F85B81" w:rsidRDefault="00FB63F7" w:rsidP="00F85B81">
      <w:pPr>
        <w:numPr>
          <w:ilvl w:val="0"/>
          <w:numId w:val="26"/>
        </w:numPr>
        <w:ind w:left="567" w:hanging="207"/>
      </w:pPr>
      <w:r w:rsidRPr="00F85B81">
        <w:t>I</w:t>
      </w:r>
      <w:r w:rsidR="00F85B81" w:rsidRPr="00F85B81">
        <w:t>nstructions for use, handling, storage conditions</w:t>
      </w:r>
    </w:p>
    <w:p w14:paraId="41BD2896" w14:textId="77777777" w:rsidR="00F85B81" w:rsidRPr="00F85B81" w:rsidRDefault="00FB63F7" w:rsidP="00F85B81">
      <w:pPr>
        <w:numPr>
          <w:ilvl w:val="0"/>
          <w:numId w:val="26"/>
        </w:numPr>
        <w:ind w:left="567" w:hanging="207"/>
      </w:pPr>
      <w:r w:rsidRPr="00F85B81">
        <w:t>R</w:t>
      </w:r>
      <w:r w:rsidR="00F85B81" w:rsidRPr="00F85B81">
        <w:t>eference values ​​of tested parameters</w:t>
      </w:r>
    </w:p>
    <w:p w14:paraId="10CAD943" w14:textId="77777777" w:rsidR="00F85B81" w:rsidRPr="00F85B81" w:rsidRDefault="00FB63F7" w:rsidP="00F85B81">
      <w:pPr>
        <w:numPr>
          <w:ilvl w:val="0"/>
          <w:numId w:val="26"/>
        </w:numPr>
        <w:ind w:left="567" w:hanging="207"/>
      </w:pPr>
      <w:r w:rsidRPr="00F85B81">
        <w:t>M</w:t>
      </w:r>
      <w:r w:rsidR="00F85B81" w:rsidRPr="00F85B81">
        <w:t>inimum amount of material - minimum weight, and</w:t>
      </w:r>
    </w:p>
    <w:p w14:paraId="50FD9FDA" w14:textId="77777777" w:rsidR="00F85B81" w:rsidRPr="00F85B81" w:rsidRDefault="00FB63F7" w:rsidP="00F85B81">
      <w:pPr>
        <w:numPr>
          <w:ilvl w:val="0"/>
          <w:numId w:val="26"/>
        </w:numPr>
        <w:ind w:left="567" w:hanging="207"/>
      </w:pPr>
      <w:r w:rsidRPr="00F85B81">
        <w:t>S</w:t>
      </w:r>
      <w:r w:rsidR="00F85B81" w:rsidRPr="00F85B81">
        <w:t>ecurity measures, risks if necessary.</w:t>
      </w:r>
    </w:p>
    <w:p w14:paraId="2CEA5719" w14:textId="77777777" w:rsidR="00F85B81" w:rsidRDefault="00F85B81" w:rsidP="00F85B81">
      <w:pPr>
        <w:ind w:firstLine="705"/>
        <w:rPr>
          <w:rStyle w:val="tlid-translation"/>
          <w:szCs w:val="24"/>
        </w:rPr>
      </w:pPr>
    </w:p>
    <w:p w14:paraId="351C18F3" w14:textId="09FFBBC8" w:rsidR="00F85B81" w:rsidRPr="00665747" w:rsidRDefault="00F85B81" w:rsidP="00F85B81">
      <w:pPr>
        <w:pStyle w:val="Paragraph"/>
        <w:rPr>
          <w:rStyle w:val="tlid-translation"/>
          <w:rFonts w:eastAsia="Cambria"/>
        </w:rPr>
      </w:pPr>
      <w:r w:rsidRPr="00665747">
        <w:rPr>
          <w:rStyle w:val="tlid-translation"/>
          <w:rFonts w:eastAsia="Cambria"/>
        </w:rPr>
        <w:t>The unit of packaging should be clearly label</w:t>
      </w:r>
      <w:r>
        <w:rPr>
          <w:rStyle w:val="tlid-translation"/>
          <w:rFonts w:eastAsia="Cambria"/>
        </w:rPr>
        <w:t>l</w:t>
      </w:r>
      <w:r w:rsidRPr="00665747">
        <w:rPr>
          <w:rStyle w:val="tlid-translation"/>
          <w:rFonts w:eastAsia="Cambria"/>
        </w:rPr>
        <w:t>ed with the RM name, batch number, date of preparation</w:t>
      </w:r>
      <w:r w:rsidR="00BA7C30">
        <w:rPr>
          <w:rStyle w:val="tlid-translation"/>
          <w:rFonts w:eastAsia="Cambria"/>
        </w:rPr>
        <w:t>,</w:t>
      </w:r>
      <w:r w:rsidRPr="00665747">
        <w:t xml:space="preserve"> </w:t>
      </w:r>
      <w:r w:rsidRPr="00665747">
        <w:rPr>
          <w:rStyle w:val="tlid-translation"/>
          <w:rFonts w:eastAsia="Cambria"/>
        </w:rPr>
        <w:t>expiry date</w:t>
      </w:r>
      <w:r w:rsidR="00BA7C30">
        <w:rPr>
          <w:rStyle w:val="tlid-translation"/>
          <w:rFonts w:eastAsia="Cambria"/>
        </w:rPr>
        <w:t xml:space="preserve"> and</w:t>
      </w:r>
      <w:r w:rsidRPr="00665747">
        <w:rPr>
          <w:rStyle w:val="tlid-translation"/>
          <w:rFonts w:eastAsia="Cambria"/>
        </w:rPr>
        <w:t xml:space="preserve"> package size.</w:t>
      </w:r>
      <w:r w:rsidRPr="00665747">
        <w:t xml:space="preserve"> </w:t>
      </w:r>
      <w:r w:rsidRPr="00665747">
        <w:rPr>
          <w:rStyle w:val="tlid-translation"/>
          <w:rFonts w:eastAsia="Cambria"/>
        </w:rPr>
        <w:t xml:space="preserve">In addition to this information, in the case of </w:t>
      </w:r>
      <w:r w:rsidR="00E66983">
        <w:rPr>
          <w:rStyle w:val="tlid-translation"/>
          <w:rFonts w:eastAsia="Cambria"/>
        </w:rPr>
        <w:t xml:space="preserve">an </w:t>
      </w:r>
      <w:r w:rsidRPr="00665747">
        <w:rPr>
          <w:rStyle w:val="tlid-translation"/>
          <w:rFonts w:eastAsia="Cambria"/>
        </w:rPr>
        <w:lastRenderedPageBreak/>
        <w:t xml:space="preserve">inquiry or when preparing a new batch of RM, it is good to keep information on the origin and method of RM preparation and </w:t>
      </w:r>
      <w:r w:rsidR="00E66983">
        <w:rPr>
          <w:rStyle w:val="tlid-translation"/>
          <w:rFonts w:eastAsia="Cambria"/>
        </w:rPr>
        <w:t xml:space="preserve">the </w:t>
      </w:r>
      <w:r w:rsidRPr="00665747">
        <w:rPr>
          <w:rStyle w:val="tlid-translation"/>
          <w:rFonts w:eastAsia="Cambria"/>
        </w:rPr>
        <w:t>type of packaging. Additional information on moisture, grain size, procedures used for homogeneity test, stability test and way of characteri</w:t>
      </w:r>
      <w:r>
        <w:rPr>
          <w:rStyle w:val="tlid-translation"/>
          <w:rFonts w:eastAsia="Cambria"/>
        </w:rPr>
        <w:t>s</w:t>
      </w:r>
      <w:r w:rsidRPr="00665747">
        <w:rPr>
          <w:rStyle w:val="tlid-translation"/>
          <w:rFonts w:eastAsia="Cambria"/>
        </w:rPr>
        <w:t>ation of the property values of the RM</w:t>
      </w:r>
      <w:r>
        <w:rPr>
          <w:rStyle w:val="tlid-translation"/>
          <w:rFonts w:eastAsia="Cambria"/>
        </w:rPr>
        <w:t xml:space="preserve"> should be available to users</w:t>
      </w:r>
      <w:r w:rsidRPr="00665747">
        <w:rPr>
          <w:rStyle w:val="tlid-translation"/>
          <w:rFonts w:eastAsia="Cambria"/>
        </w:rPr>
        <w:t xml:space="preserve">. </w:t>
      </w:r>
    </w:p>
    <w:p w14:paraId="11F5E4F7" w14:textId="71B09035" w:rsidR="00F85B81" w:rsidRDefault="00F85B81" w:rsidP="00F85B81">
      <w:pPr>
        <w:pStyle w:val="Paragraph"/>
        <w:rPr>
          <w:rStyle w:val="tlid-translation"/>
          <w:rFonts w:eastAsia="Cambria"/>
        </w:rPr>
      </w:pPr>
      <w:r w:rsidRPr="00665747">
        <w:rPr>
          <w:rStyle w:val="tlid-translation"/>
          <w:rFonts w:eastAsia="Cambria"/>
        </w:rPr>
        <w:t xml:space="preserve">When using </w:t>
      </w:r>
      <w:r w:rsidR="00E748A1">
        <w:rPr>
          <w:rStyle w:val="tlid-translation"/>
          <w:rFonts w:eastAsia="Cambria"/>
        </w:rPr>
        <w:t xml:space="preserve">an </w:t>
      </w:r>
      <w:r w:rsidRPr="00665747">
        <w:rPr>
          <w:rStyle w:val="tlid-translation"/>
          <w:rFonts w:eastAsia="Cambria"/>
        </w:rPr>
        <w:t xml:space="preserve">RM for quality management, information is needed on how to proceed if the RM is stored for a long time. </w:t>
      </w:r>
      <w:r w:rsidR="001D568F">
        <w:rPr>
          <w:rStyle w:val="tlid-translation"/>
          <w:rFonts w:eastAsia="Cambria"/>
        </w:rPr>
        <w:t xml:space="preserve">As </w:t>
      </w:r>
      <w:r w:rsidRPr="00665747">
        <w:rPr>
          <w:rStyle w:val="tlid-translation"/>
          <w:rFonts w:eastAsia="Cambria"/>
        </w:rPr>
        <w:t xml:space="preserve">RM sedimentation and separation may occur, the unit should be thoroughly shaken before use and visually inspected for material change, </w:t>
      </w:r>
      <w:r w:rsidR="00E66983">
        <w:rPr>
          <w:rStyle w:val="tlid-translation"/>
          <w:rFonts w:eastAsia="Cambria"/>
        </w:rPr>
        <w:t xml:space="preserve">and </w:t>
      </w:r>
      <w:r w:rsidRPr="00665747">
        <w:rPr>
          <w:rStyle w:val="tlid-translation"/>
          <w:rFonts w:eastAsia="Cambria"/>
        </w:rPr>
        <w:t xml:space="preserve">clumping. If the RM values ​​are reported as content per dry weight of </w:t>
      </w:r>
      <w:r w:rsidR="00E66983">
        <w:rPr>
          <w:rStyle w:val="tlid-translation"/>
          <w:rFonts w:eastAsia="Cambria"/>
        </w:rPr>
        <w:t xml:space="preserve">the </w:t>
      </w:r>
      <w:r w:rsidRPr="00665747">
        <w:rPr>
          <w:rStyle w:val="tlid-translation"/>
          <w:rFonts w:eastAsia="Cambria"/>
        </w:rPr>
        <w:t>sample, the conditions to ensure the calculation of the moisture content of the sample shall be indicated.</w:t>
      </w:r>
    </w:p>
    <w:p w14:paraId="2533402C" w14:textId="77777777" w:rsidR="00EC62FB" w:rsidRPr="000A0A6B" w:rsidRDefault="00EC62FB" w:rsidP="005B49E6">
      <w:pPr>
        <w:pStyle w:val="Heading2"/>
      </w:pPr>
      <w:bookmarkStart w:id="20" w:name="_Toc106207795"/>
      <w:r w:rsidRPr="000A0A6B">
        <w:t>R</w:t>
      </w:r>
      <w:r w:rsidR="00FB63F7">
        <w:t>eferences</w:t>
      </w:r>
      <w:bookmarkEnd w:id="20"/>
    </w:p>
    <w:p w14:paraId="3A31A2B0" w14:textId="5502E9DE" w:rsidR="00FB63F7" w:rsidRPr="00096A26" w:rsidRDefault="00FB63F7" w:rsidP="009A7E90">
      <w:pPr>
        <w:pStyle w:val="References"/>
        <w:rPr>
          <w:sz w:val="22"/>
        </w:rPr>
      </w:pPr>
      <w:r w:rsidRPr="00096A26">
        <w:rPr>
          <w:sz w:val="22"/>
          <w:u w:val="single"/>
        </w:rPr>
        <w:t>Note</w:t>
      </w:r>
      <w:r w:rsidRPr="00096A26">
        <w:rPr>
          <w:sz w:val="22"/>
        </w:rPr>
        <w:t xml:space="preserve">: All hyperlinks </w:t>
      </w:r>
      <w:r w:rsidR="00E66983">
        <w:rPr>
          <w:sz w:val="22"/>
        </w:rPr>
        <w:t xml:space="preserve">were </w:t>
      </w:r>
      <w:r w:rsidRPr="00096A26">
        <w:rPr>
          <w:sz w:val="22"/>
        </w:rPr>
        <w:t xml:space="preserve">checked on </w:t>
      </w:r>
      <w:r w:rsidR="00C54C15" w:rsidRPr="00096A26">
        <w:rPr>
          <w:sz w:val="22"/>
        </w:rPr>
        <w:t xml:space="preserve">the </w:t>
      </w:r>
      <w:r w:rsidR="001406CF" w:rsidRPr="00096A26">
        <w:rPr>
          <w:sz w:val="22"/>
        </w:rPr>
        <w:t>30</w:t>
      </w:r>
      <w:r w:rsidR="001406CF" w:rsidRPr="00096A26">
        <w:rPr>
          <w:sz w:val="22"/>
          <w:vertAlign w:val="superscript"/>
        </w:rPr>
        <w:t>th</w:t>
      </w:r>
      <w:r w:rsidR="001406CF" w:rsidRPr="00096A26">
        <w:rPr>
          <w:sz w:val="22"/>
        </w:rPr>
        <w:t xml:space="preserve"> of January </w:t>
      </w:r>
      <w:r w:rsidR="00C54C15" w:rsidRPr="00096A26">
        <w:rPr>
          <w:sz w:val="22"/>
        </w:rPr>
        <w:t>202</w:t>
      </w:r>
      <w:r w:rsidR="001406CF" w:rsidRPr="00096A26">
        <w:rPr>
          <w:sz w:val="22"/>
        </w:rPr>
        <w:t>2.</w:t>
      </w:r>
    </w:p>
    <w:p w14:paraId="1D3B1773" w14:textId="77777777" w:rsidR="00C54C15" w:rsidRPr="00096A26" w:rsidRDefault="00C54C15" w:rsidP="009A7E90">
      <w:pPr>
        <w:pStyle w:val="References"/>
        <w:rPr>
          <w:sz w:val="22"/>
        </w:rPr>
      </w:pPr>
    </w:p>
    <w:p w14:paraId="164DF6C2" w14:textId="552A5803" w:rsidR="00F264EB" w:rsidRPr="00096A26" w:rsidRDefault="00054025" w:rsidP="009A7E90">
      <w:pPr>
        <w:pStyle w:val="References"/>
        <w:rPr>
          <w:sz w:val="22"/>
        </w:rPr>
      </w:pPr>
      <w:r w:rsidRPr="00096A26">
        <w:rPr>
          <w:sz w:val="22"/>
        </w:rPr>
        <w:t xml:space="preserve">Gowing, C. &amp; Hayer, R. de, 2020. </w:t>
      </w:r>
      <w:r w:rsidR="00F264EB" w:rsidRPr="00096A26">
        <w:rPr>
          <w:sz w:val="22"/>
        </w:rPr>
        <w:t xml:space="preserve">Global Soil Laboratory Network: Basic guidelines for preparing a sample for internal quality control. Food and Agriculture Organization of the United Nations, Global Soil Partnership, Global Soil Laboratory Networks (GLOSOLAN), Rome, 7 pp.; </w:t>
      </w:r>
      <w:hyperlink r:id="rId14" w:history="1">
        <w:r w:rsidR="00F264EB" w:rsidRPr="00096A26">
          <w:rPr>
            <w:rStyle w:val="Hyperlink"/>
            <w:sz w:val="22"/>
          </w:rPr>
          <w:t>https://www.fao.org/3/ca9320en/ca9320en.pdf</w:t>
        </w:r>
      </w:hyperlink>
      <w:r w:rsidR="00F264EB" w:rsidRPr="00096A26">
        <w:rPr>
          <w:sz w:val="22"/>
        </w:rPr>
        <w:t>.</w:t>
      </w:r>
    </w:p>
    <w:p w14:paraId="7EFF64A0" w14:textId="1F4BC23B" w:rsidR="009A7E90" w:rsidRPr="00096A26" w:rsidRDefault="009A7E90" w:rsidP="009A7E90">
      <w:pPr>
        <w:pStyle w:val="References"/>
        <w:rPr>
          <w:sz w:val="22"/>
        </w:rPr>
      </w:pPr>
      <w:r w:rsidRPr="00096A26">
        <w:rPr>
          <w:sz w:val="22"/>
        </w:rPr>
        <w:t>IAEA, 2003.</w:t>
      </w:r>
      <w:r w:rsidR="00F43023" w:rsidRPr="00096A26">
        <w:rPr>
          <w:sz w:val="22"/>
        </w:rPr>
        <w:t xml:space="preserve"> </w:t>
      </w:r>
      <w:r w:rsidRPr="00096A26">
        <w:rPr>
          <w:sz w:val="22"/>
        </w:rPr>
        <w:t xml:space="preserve">Development and use of reference materials and quality control materials. IAEA-TECDOC-1350, International Atomic Energy Agency (IAEA), Vienna, 113 pp.; </w:t>
      </w:r>
      <w:hyperlink r:id="rId15" w:history="1">
        <w:r w:rsidR="00F85B81" w:rsidRPr="00096A26">
          <w:rPr>
            <w:rStyle w:val="Hyperlink"/>
            <w:sz w:val="22"/>
          </w:rPr>
          <w:t>https://www.eurachem.org/images/stories/Guides/pdf/UfS_2019_EN_P2.pdf</w:t>
        </w:r>
      </w:hyperlink>
      <w:r w:rsidRPr="00096A26">
        <w:rPr>
          <w:sz w:val="22"/>
        </w:rPr>
        <w:t>.</w:t>
      </w:r>
    </w:p>
    <w:p w14:paraId="52687092" w14:textId="32DD1E84" w:rsidR="009A7E90" w:rsidRPr="00096A26" w:rsidRDefault="009A7E90" w:rsidP="009A7E90">
      <w:pPr>
        <w:pStyle w:val="References"/>
        <w:rPr>
          <w:sz w:val="22"/>
        </w:rPr>
      </w:pPr>
      <w:r w:rsidRPr="00096A26">
        <w:rPr>
          <w:sz w:val="22"/>
        </w:rPr>
        <w:t>ISO, 2014. Guidance for the in-house preparation of quality control materials. ISO Guide 80:2014(EN), Geneva, Switzerland</w:t>
      </w:r>
      <w:r w:rsidR="00CA2315" w:rsidRPr="00096A26">
        <w:rPr>
          <w:sz w:val="22"/>
        </w:rPr>
        <w:t>, 50 pp</w:t>
      </w:r>
      <w:r w:rsidRPr="00096A26">
        <w:rPr>
          <w:sz w:val="22"/>
        </w:rPr>
        <w:t xml:space="preserve">. </w:t>
      </w:r>
      <w:r w:rsidRPr="00096A26">
        <w:rPr>
          <w:sz w:val="22"/>
        </w:rPr>
        <w:tab/>
      </w:r>
    </w:p>
    <w:p w14:paraId="0BB37DFD" w14:textId="77777777" w:rsidR="009A7E90" w:rsidRPr="00096A26" w:rsidRDefault="009A7E90" w:rsidP="009A7E90">
      <w:pPr>
        <w:pStyle w:val="References"/>
        <w:rPr>
          <w:sz w:val="22"/>
        </w:rPr>
      </w:pPr>
      <w:r w:rsidRPr="00096A26">
        <w:rPr>
          <w:sz w:val="22"/>
        </w:rPr>
        <w:t>ISO, 2015. Statistical methods for use in proficiency testing by interlaboratory comparison. ISO 13528:2015(EN), Geneva, Switzerland, 89 pp.</w:t>
      </w:r>
    </w:p>
    <w:p w14:paraId="7FF50A6E" w14:textId="77777777" w:rsidR="009A7E90" w:rsidRPr="00096A26" w:rsidRDefault="009A7E90" w:rsidP="009A7E90">
      <w:pPr>
        <w:pStyle w:val="References"/>
        <w:rPr>
          <w:sz w:val="22"/>
        </w:rPr>
      </w:pPr>
      <w:r w:rsidRPr="00096A26">
        <w:rPr>
          <w:sz w:val="22"/>
        </w:rPr>
        <w:t>ISO, 2016. General requirements for the competence of reference material producers. ISO 17034:2016(EN), Geneva, Switzerland.</w:t>
      </w:r>
    </w:p>
    <w:p w14:paraId="7C71D3D9" w14:textId="77777777" w:rsidR="00B15FC6" w:rsidRPr="00096A26" w:rsidRDefault="00B15FC6" w:rsidP="00B15FC6">
      <w:pPr>
        <w:pStyle w:val="References"/>
        <w:rPr>
          <w:sz w:val="22"/>
        </w:rPr>
      </w:pPr>
      <w:r w:rsidRPr="00096A26">
        <w:rPr>
          <w:sz w:val="22"/>
        </w:rPr>
        <w:t>ISO, 2017a. Reference materials – Guidance for characterization and assessment of homogeneity and stability. ISO Guide 35:2017(E), Geneva, Switzerland, 105 pp.</w:t>
      </w:r>
    </w:p>
    <w:p w14:paraId="769E0EA6" w14:textId="4AC85DCD" w:rsidR="009A7E90" w:rsidRPr="00096A26" w:rsidRDefault="009A7E90" w:rsidP="009A7E90">
      <w:pPr>
        <w:pStyle w:val="References"/>
        <w:rPr>
          <w:sz w:val="22"/>
        </w:rPr>
      </w:pPr>
      <w:r w:rsidRPr="00096A26">
        <w:rPr>
          <w:sz w:val="22"/>
        </w:rPr>
        <w:t>ISO, 2017</w:t>
      </w:r>
      <w:r w:rsidR="00B15FC6" w:rsidRPr="00096A26">
        <w:rPr>
          <w:sz w:val="22"/>
        </w:rPr>
        <w:t>b</w:t>
      </w:r>
      <w:r w:rsidRPr="00096A26">
        <w:rPr>
          <w:sz w:val="22"/>
        </w:rPr>
        <w:t xml:space="preserve">. General requirements for the competence of testing and calibration laboratories.  ISO/IEC 17025:2017(EN), Geneva, Switzerland, </w:t>
      </w:r>
      <w:r w:rsidR="001406CF" w:rsidRPr="00096A26">
        <w:rPr>
          <w:sz w:val="22"/>
        </w:rPr>
        <w:t>30 pp.</w:t>
      </w:r>
    </w:p>
    <w:p w14:paraId="28A4FDB4" w14:textId="71F0CF8F" w:rsidR="009A7E90" w:rsidRPr="00096A26" w:rsidRDefault="009A7E90" w:rsidP="009A7E90">
      <w:pPr>
        <w:pStyle w:val="References"/>
        <w:rPr>
          <w:sz w:val="22"/>
        </w:rPr>
      </w:pPr>
      <w:r w:rsidRPr="00096A26">
        <w:rPr>
          <w:sz w:val="22"/>
        </w:rPr>
        <w:t xml:space="preserve">Johnson, C.C., 2011. Understanding the quality of chemical data from the urban </w:t>
      </w:r>
      <w:r w:rsidR="00CB4958" w:rsidRPr="00096A26">
        <w:rPr>
          <w:sz w:val="22"/>
        </w:rPr>
        <w:t>environment – Part</w:t>
      </w:r>
      <w:r w:rsidRPr="00096A26">
        <w:rPr>
          <w:sz w:val="22"/>
        </w:rPr>
        <w:t xml:space="preserve"> 1: Quality control procedures. Chapter 5 In: C.C. Johnson, A. Demetriades, J. Locutura &amp; R.T. Ottesen (Editors), Mapping the chemical environment of urban areas.  Wiley-Blackwell, John Wiley &amp; Sons Ltd., Chichester, West Sussex, U.K., 61</w:t>
      </w:r>
      <w:r w:rsidR="00C54C15" w:rsidRPr="00096A26">
        <w:rPr>
          <w:rFonts w:cs="Times New Roman"/>
          <w:sz w:val="22"/>
        </w:rPr>
        <w:t>−</w:t>
      </w:r>
      <w:r w:rsidRPr="00096A26">
        <w:rPr>
          <w:sz w:val="22"/>
        </w:rPr>
        <w:t xml:space="preserve">76; </w:t>
      </w:r>
      <w:hyperlink r:id="rId16" w:history="1">
        <w:r w:rsidR="00F85B81" w:rsidRPr="00096A26">
          <w:rPr>
            <w:rStyle w:val="Hyperlink"/>
            <w:sz w:val="22"/>
          </w:rPr>
          <w:t>https://doi.org/10.1002/9780470670071.ch5</w:t>
        </w:r>
      </w:hyperlink>
      <w:r w:rsidRPr="00096A26">
        <w:rPr>
          <w:sz w:val="22"/>
        </w:rPr>
        <w:t>.</w:t>
      </w:r>
    </w:p>
    <w:p w14:paraId="5CA59E8E" w14:textId="77777777" w:rsidR="009A7E90" w:rsidRPr="00096A26" w:rsidRDefault="009A7E90" w:rsidP="009A7E90">
      <w:pPr>
        <w:pStyle w:val="References"/>
        <w:rPr>
          <w:sz w:val="22"/>
        </w:rPr>
      </w:pPr>
      <w:r w:rsidRPr="00096A26">
        <w:rPr>
          <w:sz w:val="22"/>
        </w:rPr>
        <w:t>Linsinger, T.P.J., Pauwels, J., Veen, A.M.H. van der, Shimmel, H. &amp; Lamberty, A., 2001</w:t>
      </w:r>
      <w:r w:rsidR="00BA7C30" w:rsidRPr="00096A26">
        <w:rPr>
          <w:sz w:val="22"/>
        </w:rPr>
        <w:t>.</w:t>
      </w:r>
      <w:r w:rsidRPr="00096A26">
        <w:rPr>
          <w:sz w:val="22"/>
        </w:rPr>
        <w:t xml:space="preserve"> Homogeneity and stability of reference materials. Accreditation and Quality Assurance, 6(1)</w:t>
      </w:r>
      <w:r w:rsidR="00F43023" w:rsidRPr="00096A26">
        <w:rPr>
          <w:sz w:val="22"/>
        </w:rPr>
        <w:t>,</w:t>
      </w:r>
      <w:r w:rsidRPr="00096A26">
        <w:rPr>
          <w:sz w:val="22"/>
        </w:rPr>
        <w:t xml:space="preserve"> 20-25; </w:t>
      </w:r>
      <w:hyperlink r:id="rId17" w:history="1">
        <w:r w:rsidR="00F85B81" w:rsidRPr="00096A26">
          <w:rPr>
            <w:rStyle w:val="Hyperlink"/>
            <w:sz w:val="22"/>
          </w:rPr>
          <w:t>https://doi.org/10.1007/s007690000261</w:t>
        </w:r>
      </w:hyperlink>
      <w:r w:rsidRPr="00096A26">
        <w:rPr>
          <w:sz w:val="22"/>
        </w:rPr>
        <w:t>.</w:t>
      </w:r>
    </w:p>
    <w:p w14:paraId="58C0A851" w14:textId="50E9D8F9" w:rsidR="009A7E90" w:rsidRPr="00096A26" w:rsidRDefault="009A7E90" w:rsidP="009A7E90">
      <w:pPr>
        <w:pStyle w:val="References"/>
        <w:rPr>
          <w:sz w:val="22"/>
        </w:rPr>
      </w:pPr>
      <w:r w:rsidRPr="00096A26">
        <w:rPr>
          <w:sz w:val="22"/>
        </w:rPr>
        <w:t xml:space="preserve">Pauwels, J., Lamberty, A. &amp; Schimmel, H., 1998. The determination of the uncertainty </w:t>
      </w:r>
      <w:r w:rsidR="00CB4958" w:rsidRPr="00096A26">
        <w:rPr>
          <w:sz w:val="22"/>
        </w:rPr>
        <w:t>of reference</w:t>
      </w:r>
      <w:r w:rsidRPr="00096A26">
        <w:rPr>
          <w:sz w:val="22"/>
        </w:rPr>
        <w:t xml:space="preserve"> materials certified by laboratory intercomparison. Accreditation and Quality Assurance, 3(5), 180</w:t>
      </w:r>
      <w:r w:rsidR="00C54C15" w:rsidRPr="00096A26">
        <w:rPr>
          <w:rFonts w:cs="Times New Roman"/>
          <w:sz w:val="22"/>
        </w:rPr>
        <w:t>−</w:t>
      </w:r>
      <w:r w:rsidRPr="00096A26">
        <w:rPr>
          <w:sz w:val="22"/>
        </w:rPr>
        <w:t xml:space="preserve">184; </w:t>
      </w:r>
      <w:hyperlink r:id="rId18" w:history="1">
        <w:r w:rsidR="00F85B81" w:rsidRPr="00096A26">
          <w:rPr>
            <w:rStyle w:val="Hyperlink"/>
            <w:sz w:val="22"/>
          </w:rPr>
          <w:t>https://doi.org/10.1007/s007690050218</w:t>
        </w:r>
      </w:hyperlink>
      <w:r w:rsidRPr="00096A26">
        <w:rPr>
          <w:sz w:val="22"/>
        </w:rPr>
        <w:t>.</w:t>
      </w:r>
    </w:p>
    <w:p w14:paraId="7206197E" w14:textId="77777777" w:rsidR="009A7E90" w:rsidRPr="00096A26" w:rsidRDefault="009A7E90" w:rsidP="009A7E90">
      <w:pPr>
        <w:pStyle w:val="References"/>
        <w:rPr>
          <w:sz w:val="22"/>
        </w:rPr>
      </w:pPr>
      <w:r w:rsidRPr="00096A26">
        <w:rPr>
          <w:sz w:val="22"/>
        </w:rPr>
        <w:t xml:space="preserve">Ramsey, M.H., Ellison, S.L.R. &amp; Rostron, P. (Editors), 2019. Eurachem/EUROLAB/ CITAC/Nordtest/AMC Guide: Measurement uncertainty arising from sampling: </w:t>
      </w:r>
      <w:r w:rsidR="00F85B81" w:rsidRPr="00096A26">
        <w:rPr>
          <w:sz w:val="22"/>
        </w:rPr>
        <w:t xml:space="preserve"> </w:t>
      </w:r>
      <w:r w:rsidRPr="00096A26">
        <w:rPr>
          <w:sz w:val="22"/>
        </w:rPr>
        <w:t xml:space="preserve">A guide to methods and approaches. Second Edition, Eurachem, 104 pp.; </w:t>
      </w:r>
      <w:hyperlink r:id="rId19" w:history="1">
        <w:r w:rsidR="00F85B81" w:rsidRPr="00096A26">
          <w:rPr>
            <w:rStyle w:val="Hyperlink"/>
            <w:sz w:val="22"/>
          </w:rPr>
          <w:t>https://www.eurachem.org/images/stories/Guides/pdf/UfS_2019_EN_P2.pdf</w:t>
        </w:r>
      </w:hyperlink>
      <w:r w:rsidRPr="00096A26">
        <w:rPr>
          <w:sz w:val="22"/>
        </w:rPr>
        <w:t>.</w:t>
      </w:r>
    </w:p>
    <w:p w14:paraId="6F0CF074" w14:textId="77777777" w:rsidR="008F4E03" w:rsidRPr="00096A26" w:rsidRDefault="008F4E03" w:rsidP="00E322CC">
      <w:pPr>
        <w:pStyle w:val="References"/>
        <w:rPr>
          <w:sz w:val="22"/>
        </w:rPr>
      </w:pPr>
      <w:r w:rsidRPr="00096A26">
        <w:rPr>
          <w:sz w:val="22"/>
        </w:rPr>
        <w:t xml:space="preserve">Schermann, O., 1990. Quality control. Appendix 4 (6 pp.) In: </w:t>
      </w:r>
      <w:r w:rsidR="00DF62AF" w:rsidRPr="00096A26">
        <w:rPr>
          <w:sz w:val="22"/>
        </w:rPr>
        <w:t xml:space="preserve">B. </w:t>
      </w:r>
      <w:r w:rsidRPr="00096A26">
        <w:rPr>
          <w:sz w:val="22"/>
        </w:rPr>
        <w:t xml:space="preserve">Bølviken, </w:t>
      </w:r>
      <w:r w:rsidR="00DF62AF" w:rsidRPr="00096A26">
        <w:rPr>
          <w:sz w:val="22"/>
        </w:rPr>
        <w:t xml:space="preserve">A. </w:t>
      </w:r>
      <w:r w:rsidRPr="00096A26">
        <w:rPr>
          <w:sz w:val="22"/>
        </w:rPr>
        <w:t xml:space="preserve">Demetriades, </w:t>
      </w:r>
      <w:r w:rsidR="00DF62AF" w:rsidRPr="00096A26">
        <w:rPr>
          <w:sz w:val="22"/>
        </w:rPr>
        <w:t xml:space="preserve">R. </w:t>
      </w:r>
      <w:r w:rsidRPr="00096A26">
        <w:rPr>
          <w:sz w:val="22"/>
        </w:rPr>
        <w:t xml:space="preserve">Hindel, </w:t>
      </w:r>
      <w:r w:rsidR="00DF62AF" w:rsidRPr="00096A26">
        <w:rPr>
          <w:sz w:val="22"/>
        </w:rPr>
        <w:t xml:space="preserve">J. </w:t>
      </w:r>
      <w:r w:rsidRPr="00096A26">
        <w:rPr>
          <w:sz w:val="22"/>
        </w:rPr>
        <w:t>Locutura,</w:t>
      </w:r>
      <w:r w:rsidR="00DF62AF" w:rsidRPr="00096A26">
        <w:rPr>
          <w:sz w:val="22"/>
        </w:rPr>
        <w:t xml:space="preserve"> P.</w:t>
      </w:r>
      <w:r w:rsidRPr="00096A26">
        <w:rPr>
          <w:sz w:val="22"/>
        </w:rPr>
        <w:t xml:space="preserve"> O'Connor, </w:t>
      </w:r>
      <w:r w:rsidR="00DF62AF" w:rsidRPr="00096A26">
        <w:rPr>
          <w:sz w:val="22"/>
        </w:rPr>
        <w:t xml:space="preserve">R.T. </w:t>
      </w:r>
      <w:r w:rsidRPr="00096A26">
        <w:rPr>
          <w:sz w:val="22"/>
        </w:rPr>
        <w:t xml:space="preserve">Ottesen, </w:t>
      </w:r>
      <w:r w:rsidR="00DF62AF" w:rsidRPr="00096A26">
        <w:rPr>
          <w:sz w:val="22"/>
        </w:rPr>
        <w:t xml:space="preserve">J. </w:t>
      </w:r>
      <w:r w:rsidRPr="00096A26">
        <w:rPr>
          <w:sz w:val="22"/>
        </w:rPr>
        <w:t xml:space="preserve">Plant, J. Ridgway, </w:t>
      </w:r>
      <w:r w:rsidR="00DF62AF" w:rsidRPr="00096A26">
        <w:rPr>
          <w:sz w:val="22"/>
        </w:rPr>
        <w:t xml:space="preserve">R. </w:t>
      </w:r>
      <w:r w:rsidRPr="00096A26">
        <w:rPr>
          <w:sz w:val="22"/>
        </w:rPr>
        <w:t xml:space="preserve">Salminen, </w:t>
      </w:r>
      <w:r w:rsidR="00DF62AF" w:rsidRPr="00096A26">
        <w:rPr>
          <w:sz w:val="22"/>
        </w:rPr>
        <w:t xml:space="preserve">I. </w:t>
      </w:r>
      <w:r w:rsidRPr="00096A26">
        <w:rPr>
          <w:sz w:val="22"/>
        </w:rPr>
        <w:t xml:space="preserve">Salpeteur, </w:t>
      </w:r>
      <w:r w:rsidR="00DF62AF" w:rsidRPr="00096A26">
        <w:rPr>
          <w:sz w:val="22"/>
        </w:rPr>
        <w:t xml:space="preserve">O. </w:t>
      </w:r>
      <w:r w:rsidRPr="00096A26">
        <w:rPr>
          <w:sz w:val="22"/>
        </w:rPr>
        <w:t xml:space="preserve">Schermann &amp; </w:t>
      </w:r>
      <w:r w:rsidR="00DF62AF" w:rsidRPr="00096A26">
        <w:rPr>
          <w:sz w:val="22"/>
        </w:rPr>
        <w:t xml:space="preserve">T. </w:t>
      </w:r>
      <w:r w:rsidRPr="00096A26">
        <w:rPr>
          <w:sz w:val="22"/>
        </w:rPr>
        <w:t>Volden (Editors), 1990. Geochemical Mapping of Western Europe towards the Year 2000. Project Proposal.</w:t>
      </w:r>
      <w:r w:rsidR="00DF62AF" w:rsidRPr="00096A26">
        <w:rPr>
          <w:sz w:val="22"/>
        </w:rPr>
        <w:t xml:space="preserve"> </w:t>
      </w:r>
      <w:r w:rsidRPr="00096A26">
        <w:rPr>
          <w:sz w:val="22"/>
        </w:rPr>
        <w:t xml:space="preserve">Western European Geological Surveys (WEGS). Geological Survey of Norway, Trondheim, NGU Report 90-106, 12 pages and 9 appendices; </w:t>
      </w:r>
      <w:hyperlink r:id="rId20" w:history="1">
        <w:r w:rsidRPr="00096A26">
          <w:rPr>
            <w:rStyle w:val="Hyperlink"/>
            <w:sz w:val="22"/>
          </w:rPr>
          <w:t>http://www.ngu.no/upload/Publikasjoner/Rapporter/1990/90_106.pdf</w:t>
        </w:r>
      </w:hyperlink>
      <w:r w:rsidRPr="00096A26">
        <w:rPr>
          <w:sz w:val="22"/>
        </w:rPr>
        <w:t>.</w:t>
      </w:r>
    </w:p>
    <w:p w14:paraId="5E7191BE" w14:textId="3BF37C5B" w:rsidR="00E84698" w:rsidRDefault="009A7E90" w:rsidP="00E322CC">
      <w:pPr>
        <w:pStyle w:val="References"/>
        <w:rPr>
          <w:sz w:val="22"/>
        </w:rPr>
      </w:pPr>
      <w:r w:rsidRPr="00096A26">
        <w:rPr>
          <w:sz w:val="22"/>
        </w:rPr>
        <w:t>Thompson, M., Ellison, S.L.R. &amp; Wood, R., 2006. The international harmonized protocol for the proficiency testing of analytical chemistry laboratories. See Appendix 1: Recommended procedure for testing a material for sufficient homogeneity. IUPAC Technical Report, Pure and Applied Chemistry, 78(1), 145</w:t>
      </w:r>
      <w:r w:rsidR="00C54C15" w:rsidRPr="00096A26">
        <w:rPr>
          <w:rFonts w:cs="Times New Roman"/>
          <w:sz w:val="22"/>
        </w:rPr>
        <w:t>−</w:t>
      </w:r>
      <w:r w:rsidRPr="00096A26">
        <w:rPr>
          <w:sz w:val="22"/>
        </w:rPr>
        <w:t xml:space="preserve">196; </w:t>
      </w:r>
      <w:hyperlink r:id="rId21" w:history="1">
        <w:r w:rsidR="00F85B81" w:rsidRPr="00096A26">
          <w:rPr>
            <w:rStyle w:val="Hyperlink"/>
            <w:sz w:val="22"/>
          </w:rPr>
          <w:t>https://doi.org/10.1351/pac200678010145</w:t>
        </w:r>
      </w:hyperlink>
      <w:r w:rsidRPr="00096A26">
        <w:rPr>
          <w:sz w:val="22"/>
        </w:rPr>
        <w:t>.</w:t>
      </w:r>
    </w:p>
    <w:p w14:paraId="06F681A2" w14:textId="39D7DDC6" w:rsidR="004C71E6" w:rsidRDefault="004C71E6" w:rsidP="00E322CC">
      <w:pPr>
        <w:pStyle w:val="References"/>
        <w:rPr>
          <w:sz w:val="22"/>
        </w:rPr>
      </w:pPr>
    </w:p>
    <w:p w14:paraId="2963B811" w14:textId="7199346C" w:rsidR="004C71E6" w:rsidRDefault="004C71E6" w:rsidP="00E322CC">
      <w:pPr>
        <w:pStyle w:val="References"/>
        <w:rPr>
          <w:sz w:val="22"/>
        </w:rPr>
      </w:pPr>
    </w:p>
    <w:p w14:paraId="1D7D01AE" w14:textId="5FB64028" w:rsidR="004C71E6" w:rsidRDefault="004C71E6" w:rsidP="00E322CC">
      <w:pPr>
        <w:pStyle w:val="References"/>
        <w:rPr>
          <w:sz w:val="22"/>
        </w:rPr>
      </w:pPr>
    </w:p>
    <w:p w14:paraId="6DC83777" w14:textId="3504B084" w:rsidR="004C71E6" w:rsidRDefault="004C71E6" w:rsidP="00E322CC">
      <w:pPr>
        <w:pStyle w:val="References"/>
        <w:rPr>
          <w:sz w:val="22"/>
        </w:rPr>
      </w:pPr>
    </w:p>
    <w:p w14:paraId="0FF47B2B" w14:textId="3125D17A" w:rsidR="004C71E6" w:rsidRDefault="004C71E6" w:rsidP="00E322CC">
      <w:pPr>
        <w:pStyle w:val="References"/>
        <w:rPr>
          <w:sz w:val="22"/>
        </w:rPr>
      </w:pPr>
    </w:p>
    <w:p w14:paraId="12E1F949" w14:textId="02250F55" w:rsidR="004C71E6" w:rsidRDefault="004C71E6" w:rsidP="00E322CC">
      <w:pPr>
        <w:pStyle w:val="References"/>
        <w:rPr>
          <w:sz w:val="22"/>
        </w:rPr>
      </w:pPr>
    </w:p>
    <w:p w14:paraId="62C9F0FD" w14:textId="782F1431" w:rsidR="004C71E6" w:rsidRDefault="004C71E6" w:rsidP="00E322CC">
      <w:pPr>
        <w:pStyle w:val="References"/>
        <w:rPr>
          <w:sz w:val="22"/>
        </w:rPr>
      </w:pPr>
    </w:p>
    <w:p w14:paraId="41269D6D" w14:textId="017241BB" w:rsidR="004C71E6" w:rsidRDefault="004C71E6" w:rsidP="00E322CC">
      <w:pPr>
        <w:pStyle w:val="References"/>
        <w:rPr>
          <w:sz w:val="22"/>
        </w:rPr>
      </w:pPr>
    </w:p>
    <w:p w14:paraId="17506253" w14:textId="01D8D742" w:rsidR="004C71E6" w:rsidRDefault="004C71E6" w:rsidP="00E322CC">
      <w:pPr>
        <w:pStyle w:val="References"/>
        <w:rPr>
          <w:sz w:val="22"/>
        </w:rPr>
      </w:pPr>
    </w:p>
    <w:p w14:paraId="76C6BA6E" w14:textId="40EB000B" w:rsidR="004C71E6" w:rsidRDefault="004C71E6" w:rsidP="00E322CC">
      <w:pPr>
        <w:pStyle w:val="References"/>
        <w:rPr>
          <w:sz w:val="22"/>
        </w:rPr>
      </w:pPr>
    </w:p>
    <w:p w14:paraId="126D725A" w14:textId="0BC89DB2" w:rsidR="004C71E6" w:rsidRDefault="004C71E6" w:rsidP="00E322CC">
      <w:pPr>
        <w:pStyle w:val="References"/>
        <w:rPr>
          <w:sz w:val="22"/>
        </w:rPr>
      </w:pPr>
    </w:p>
    <w:p w14:paraId="2A567594" w14:textId="51E98648" w:rsidR="004C71E6" w:rsidRDefault="004C71E6" w:rsidP="00E322CC">
      <w:pPr>
        <w:pStyle w:val="References"/>
        <w:rPr>
          <w:sz w:val="22"/>
        </w:rPr>
      </w:pPr>
    </w:p>
    <w:p w14:paraId="06D157FE" w14:textId="28296AF7" w:rsidR="004C71E6" w:rsidRDefault="004C71E6" w:rsidP="00E322CC">
      <w:pPr>
        <w:pStyle w:val="References"/>
        <w:rPr>
          <w:sz w:val="22"/>
        </w:rPr>
      </w:pPr>
    </w:p>
    <w:p w14:paraId="57F94857" w14:textId="11591DCE" w:rsidR="004C71E6" w:rsidRDefault="004C71E6" w:rsidP="00E322CC">
      <w:pPr>
        <w:pStyle w:val="References"/>
        <w:rPr>
          <w:sz w:val="22"/>
        </w:rPr>
      </w:pPr>
    </w:p>
    <w:p w14:paraId="22D92667" w14:textId="7FA30A97" w:rsidR="004C71E6" w:rsidRDefault="004C71E6" w:rsidP="00E322CC">
      <w:pPr>
        <w:pStyle w:val="References"/>
        <w:rPr>
          <w:sz w:val="22"/>
        </w:rPr>
      </w:pPr>
    </w:p>
    <w:p w14:paraId="2CDA4682" w14:textId="4CCFA23F" w:rsidR="004C71E6" w:rsidRDefault="004C71E6" w:rsidP="00E322CC">
      <w:pPr>
        <w:pStyle w:val="References"/>
        <w:rPr>
          <w:sz w:val="22"/>
        </w:rPr>
      </w:pPr>
    </w:p>
    <w:p w14:paraId="54902D7E" w14:textId="3A2E161D" w:rsidR="004C71E6" w:rsidRDefault="004C71E6" w:rsidP="00E322CC">
      <w:pPr>
        <w:pStyle w:val="References"/>
        <w:rPr>
          <w:sz w:val="22"/>
        </w:rPr>
      </w:pPr>
    </w:p>
    <w:p w14:paraId="15131A20" w14:textId="18DDEAF6" w:rsidR="004C71E6" w:rsidRDefault="004C71E6" w:rsidP="00E322CC">
      <w:pPr>
        <w:pStyle w:val="References"/>
        <w:rPr>
          <w:sz w:val="22"/>
        </w:rPr>
      </w:pPr>
    </w:p>
    <w:p w14:paraId="148B8EBA" w14:textId="48EF2141" w:rsidR="004C71E6" w:rsidRDefault="004C71E6" w:rsidP="00E322CC">
      <w:pPr>
        <w:pStyle w:val="References"/>
        <w:rPr>
          <w:sz w:val="22"/>
        </w:rPr>
      </w:pPr>
    </w:p>
    <w:p w14:paraId="18DB907C" w14:textId="3A429EAB" w:rsidR="004C71E6" w:rsidRDefault="004C71E6" w:rsidP="00E322CC">
      <w:pPr>
        <w:pStyle w:val="References"/>
        <w:rPr>
          <w:sz w:val="22"/>
        </w:rPr>
      </w:pPr>
    </w:p>
    <w:p w14:paraId="28CDD3C0" w14:textId="7B41271E" w:rsidR="004C71E6" w:rsidRDefault="004C71E6" w:rsidP="00E322CC">
      <w:pPr>
        <w:pStyle w:val="References"/>
        <w:rPr>
          <w:sz w:val="22"/>
        </w:rPr>
      </w:pPr>
    </w:p>
    <w:p w14:paraId="0D8696D9" w14:textId="7F55BA80" w:rsidR="004C71E6" w:rsidRDefault="004C71E6" w:rsidP="00E322CC">
      <w:pPr>
        <w:pStyle w:val="References"/>
        <w:rPr>
          <w:sz w:val="22"/>
        </w:rPr>
      </w:pPr>
    </w:p>
    <w:p w14:paraId="16E0BF22" w14:textId="47112DEE" w:rsidR="004C71E6" w:rsidRDefault="004C71E6" w:rsidP="00E322CC">
      <w:pPr>
        <w:pStyle w:val="References"/>
        <w:rPr>
          <w:sz w:val="22"/>
        </w:rPr>
      </w:pPr>
    </w:p>
    <w:p w14:paraId="791BCE3C" w14:textId="3AC3DEA4" w:rsidR="004C71E6" w:rsidRDefault="004C71E6" w:rsidP="00E322CC">
      <w:pPr>
        <w:pStyle w:val="References"/>
        <w:rPr>
          <w:sz w:val="22"/>
        </w:rPr>
      </w:pPr>
    </w:p>
    <w:p w14:paraId="07410363" w14:textId="642B9D37" w:rsidR="004C71E6" w:rsidRDefault="004C71E6" w:rsidP="00E322CC">
      <w:pPr>
        <w:pStyle w:val="References"/>
        <w:rPr>
          <w:sz w:val="22"/>
        </w:rPr>
      </w:pPr>
    </w:p>
    <w:p w14:paraId="783B4648" w14:textId="1504294D" w:rsidR="004C71E6" w:rsidRDefault="004C71E6" w:rsidP="00E322CC">
      <w:pPr>
        <w:pStyle w:val="References"/>
        <w:rPr>
          <w:sz w:val="22"/>
        </w:rPr>
      </w:pPr>
    </w:p>
    <w:p w14:paraId="5BB12D3D" w14:textId="372154D4" w:rsidR="004C71E6" w:rsidRDefault="004C71E6" w:rsidP="00E322CC">
      <w:pPr>
        <w:pStyle w:val="References"/>
        <w:rPr>
          <w:sz w:val="22"/>
        </w:rPr>
      </w:pPr>
    </w:p>
    <w:p w14:paraId="14C0106D" w14:textId="2742DD0C" w:rsidR="004C71E6" w:rsidRDefault="004C71E6" w:rsidP="00E322CC">
      <w:pPr>
        <w:pStyle w:val="References"/>
        <w:rPr>
          <w:sz w:val="22"/>
        </w:rPr>
      </w:pPr>
    </w:p>
    <w:p w14:paraId="4B26D8B8" w14:textId="2C54F000" w:rsidR="004C71E6" w:rsidRDefault="004C71E6" w:rsidP="00E322CC">
      <w:pPr>
        <w:pStyle w:val="References"/>
        <w:rPr>
          <w:sz w:val="22"/>
        </w:rPr>
      </w:pPr>
    </w:p>
    <w:p w14:paraId="5187EBB8" w14:textId="666AC2C4" w:rsidR="004C71E6" w:rsidRDefault="004C71E6" w:rsidP="00E322CC">
      <w:pPr>
        <w:pStyle w:val="References"/>
        <w:rPr>
          <w:sz w:val="22"/>
        </w:rPr>
      </w:pPr>
    </w:p>
    <w:p w14:paraId="28BEB9A3" w14:textId="37E4734A" w:rsidR="004C71E6" w:rsidRDefault="004C71E6" w:rsidP="00E322CC">
      <w:pPr>
        <w:pStyle w:val="References"/>
        <w:rPr>
          <w:sz w:val="22"/>
        </w:rPr>
      </w:pPr>
    </w:p>
    <w:p w14:paraId="5227A5E3" w14:textId="5613E4A8" w:rsidR="004C71E6" w:rsidRDefault="004C71E6" w:rsidP="00E322CC">
      <w:pPr>
        <w:pStyle w:val="References"/>
        <w:rPr>
          <w:sz w:val="22"/>
        </w:rPr>
      </w:pPr>
    </w:p>
    <w:p w14:paraId="5437F026" w14:textId="0104C9F6" w:rsidR="004C71E6" w:rsidRDefault="004C71E6" w:rsidP="00E322CC">
      <w:pPr>
        <w:pStyle w:val="References"/>
        <w:rPr>
          <w:sz w:val="22"/>
        </w:rPr>
      </w:pPr>
    </w:p>
    <w:p w14:paraId="2FC481EA" w14:textId="20B8B38B" w:rsidR="004C71E6" w:rsidRDefault="004C71E6" w:rsidP="00E322CC">
      <w:pPr>
        <w:pStyle w:val="References"/>
        <w:rPr>
          <w:sz w:val="22"/>
        </w:rPr>
      </w:pPr>
    </w:p>
    <w:p w14:paraId="68CCB00D" w14:textId="0F8ACF09" w:rsidR="004C71E6" w:rsidRDefault="004C71E6" w:rsidP="00E322CC">
      <w:pPr>
        <w:pStyle w:val="References"/>
        <w:rPr>
          <w:sz w:val="22"/>
        </w:rPr>
      </w:pPr>
    </w:p>
    <w:p w14:paraId="5B354211" w14:textId="2534700D" w:rsidR="004C71E6" w:rsidRDefault="004C71E6" w:rsidP="00E322CC">
      <w:pPr>
        <w:pStyle w:val="References"/>
        <w:rPr>
          <w:sz w:val="22"/>
        </w:rPr>
      </w:pPr>
    </w:p>
    <w:p w14:paraId="67BB6F72" w14:textId="1CAF689E" w:rsidR="004C71E6" w:rsidRDefault="004C71E6" w:rsidP="00E322CC">
      <w:pPr>
        <w:pStyle w:val="References"/>
        <w:rPr>
          <w:sz w:val="22"/>
        </w:rPr>
      </w:pPr>
    </w:p>
    <w:p w14:paraId="104D4713" w14:textId="7FAC56ED" w:rsidR="004C71E6" w:rsidRDefault="004C71E6" w:rsidP="00E322CC">
      <w:pPr>
        <w:pStyle w:val="References"/>
        <w:rPr>
          <w:sz w:val="22"/>
        </w:rPr>
      </w:pPr>
    </w:p>
    <w:p w14:paraId="118FB6B0" w14:textId="516049B0" w:rsidR="004C71E6" w:rsidRDefault="004C71E6" w:rsidP="00E322CC">
      <w:pPr>
        <w:pStyle w:val="References"/>
        <w:rPr>
          <w:sz w:val="22"/>
        </w:rPr>
      </w:pPr>
    </w:p>
    <w:p w14:paraId="75F7D746" w14:textId="400A9FAD" w:rsidR="004C71E6" w:rsidRDefault="004C71E6" w:rsidP="00E322CC">
      <w:pPr>
        <w:pStyle w:val="References"/>
        <w:rPr>
          <w:sz w:val="22"/>
        </w:rPr>
      </w:pPr>
    </w:p>
    <w:p w14:paraId="729C8470" w14:textId="7991BFA9" w:rsidR="004C71E6" w:rsidRDefault="004C71E6" w:rsidP="00E322CC">
      <w:pPr>
        <w:pStyle w:val="References"/>
        <w:rPr>
          <w:sz w:val="22"/>
        </w:rPr>
      </w:pPr>
    </w:p>
    <w:p w14:paraId="6772A3B6" w14:textId="33FF7DEC" w:rsidR="004C71E6" w:rsidRDefault="004C71E6" w:rsidP="00E322CC">
      <w:pPr>
        <w:pStyle w:val="References"/>
        <w:rPr>
          <w:sz w:val="22"/>
        </w:rPr>
      </w:pPr>
    </w:p>
    <w:p w14:paraId="6B8E836D" w14:textId="5554CB62" w:rsidR="004C71E6" w:rsidRDefault="004C71E6" w:rsidP="00E322CC">
      <w:pPr>
        <w:pStyle w:val="References"/>
        <w:rPr>
          <w:sz w:val="22"/>
        </w:rPr>
      </w:pPr>
    </w:p>
    <w:p w14:paraId="310B3FE6" w14:textId="179F3778" w:rsidR="004C71E6" w:rsidRDefault="004C71E6" w:rsidP="00E322CC">
      <w:pPr>
        <w:pStyle w:val="References"/>
        <w:rPr>
          <w:sz w:val="22"/>
        </w:rPr>
      </w:pPr>
    </w:p>
    <w:p w14:paraId="521FB30F" w14:textId="252536B2" w:rsidR="004C71E6" w:rsidRDefault="004C71E6" w:rsidP="00E322CC">
      <w:pPr>
        <w:pStyle w:val="References"/>
        <w:rPr>
          <w:sz w:val="22"/>
        </w:rPr>
      </w:pPr>
    </w:p>
    <w:p w14:paraId="1FB001E3" w14:textId="3E453649" w:rsidR="004C71E6" w:rsidRDefault="004C71E6" w:rsidP="00E322CC">
      <w:pPr>
        <w:pStyle w:val="References"/>
        <w:rPr>
          <w:sz w:val="22"/>
        </w:rPr>
      </w:pPr>
    </w:p>
    <w:p w14:paraId="004059AD" w14:textId="3FBCFC71" w:rsidR="004C71E6" w:rsidRDefault="004C71E6" w:rsidP="00E322CC">
      <w:pPr>
        <w:pStyle w:val="References"/>
        <w:rPr>
          <w:sz w:val="22"/>
        </w:rPr>
      </w:pPr>
    </w:p>
    <w:p w14:paraId="502D568A" w14:textId="765DCC0A" w:rsidR="004C71E6" w:rsidRDefault="004C71E6" w:rsidP="00E322CC">
      <w:pPr>
        <w:pStyle w:val="References"/>
        <w:rPr>
          <w:sz w:val="22"/>
        </w:rPr>
      </w:pPr>
    </w:p>
    <w:p w14:paraId="076988A8" w14:textId="76AC5398" w:rsidR="004C71E6" w:rsidRDefault="004C71E6" w:rsidP="00E322CC">
      <w:pPr>
        <w:pStyle w:val="References"/>
        <w:rPr>
          <w:sz w:val="22"/>
        </w:rPr>
      </w:pPr>
    </w:p>
    <w:p w14:paraId="4C0FE1C2" w14:textId="1854ACEA" w:rsidR="004C71E6" w:rsidRDefault="004C71E6" w:rsidP="00E322CC">
      <w:pPr>
        <w:pStyle w:val="References"/>
        <w:rPr>
          <w:sz w:val="22"/>
        </w:rPr>
      </w:pPr>
    </w:p>
    <w:p w14:paraId="037A53E5" w14:textId="06F1253A" w:rsidR="004C71E6" w:rsidRDefault="004C71E6" w:rsidP="00E322CC">
      <w:pPr>
        <w:pStyle w:val="References"/>
        <w:rPr>
          <w:sz w:val="22"/>
        </w:rPr>
      </w:pPr>
    </w:p>
    <w:p w14:paraId="6C2DDBEA" w14:textId="365A828A" w:rsidR="004C71E6" w:rsidRDefault="004C71E6" w:rsidP="00E322CC">
      <w:pPr>
        <w:pStyle w:val="References"/>
        <w:rPr>
          <w:sz w:val="22"/>
        </w:rPr>
      </w:pPr>
    </w:p>
    <w:p w14:paraId="494EBC94" w14:textId="6CA54870" w:rsidR="004C71E6" w:rsidRDefault="004C71E6" w:rsidP="00E322CC">
      <w:pPr>
        <w:pStyle w:val="References"/>
        <w:rPr>
          <w:sz w:val="22"/>
        </w:rPr>
      </w:pPr>
    </w:p>
    <w:p w14:paraId="1BD8E641" w14:textId="6B05FEF0" w:rsidR="004C71E6" w:rsidRDefault="004C71E6" w:rsidP="00E322CC">
      <w:pPr>
        <w:pStyle w:val="References"/>
        <w:rPr>
          <w:sz w:val="22"/>
        </w:rPr>
      </w:pPr>
    </w:p>
    <w:p w14:paraId="4DA469DB" w14:textId="77777777" w:rsidR="002A1399" w:rsidRDefault="002A1399" w:rsidP="004C71E6">
      <w:pPr>
        <w:rPr>
          <w:i/>
          <w:iCs/>
          <w:sz w:val="16"/>
          <w:szCs w:val="16"/>
        </w:rPr>
      </w:pPr>
    </w:p>
    <w:p w14:paraId="60122749" w14:textId="6524BE46" w:rsidR="004C71E6" w:rsidRPr="004C71E6" w:rsidRDefault="004C71E6" w:rsidP="004C71E6">
      <w:pPr>
        <w:rPr>
          <w:i/>
          <w:iCs/>
          <w:sz w:val="16"/>
          <w:szCs w:val="16"/>
        </w:rPr>
      </w:pPr>
      <w:r w:rsidRPr="004C71E6">
        <w:rPr>
          <w:i/>
          <w:iCs/>
          <w:sz w:val="16"/>
          <w:szCs w:val="16"/>
        </w:rPr>
        <w:t>Blank back page</w:t>
      </w:r>
    </w:p>
    <w:sectPr w:rsidR="004C71E6" w:rsidRPr="004C71E6" w:rsidSect="00A01F7A">
      <w:footerReference w:type="even" r:id="rId22"/>
      <w:footerReference w:type="default" r:id="rId23"/>
      <w:pgSz w:w="11907" w:h="16838"/>
      <w:pgMar w:top="1134" w:right="1134" w:bottom="1134" w:left="1418" w:header="709" w:footer="709" w:gutter="0"/>
      <w:pgNumType w:start="32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E36C3" w14:textId="77777777" w:rsidR="00165183" w:rsidRDefault="00165183" w:rsidP="00844263">
      <w:r>
        <w:separator/>
      </w:r>
    </w:p>
  </w:endnote>
  <w:endnote w:type="continuationSeparator" w:id="0">
    <w:p w14:paraId="5430EAC7" w14:textId="77777777" w:rsidR="00165183" w:rsidRDefault="00165183" w:rsidP="00844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Segoe UI">
    <w:panose1 w:val="020B0502040204020203"/>
    <w:charset w:val="A1"/>
    <w:family w:val="swiss"/>
    <w:pitch w:val="variable"/>
    <w:sig w:usb0="E4002EFF" w:usb1="C000E47F"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91371" w14:textId="77777777" w:rsidR="005724B5" w:rsidRPr="00BB77B2" w:rsidRDefault="005724B5" w:rsidP="00BB77B2">
    <w:pPr>
      <w:pStyle w:val="Footer"/>
      <w:rPr>
        <w:sz w:val="20"/>
      </w:rPr>
    </w:pPr>
    <w:r w:rsidRPr="00BB77B2">
      <w:rPr>
        <w:sz w:val="20"/>
      </w:rPr>
      <w:fldChar w:fldCharType="begin"/>
    </w:r>
    <w:r w:rsidRPr="00BB77B2">
      <w:rPr>
        <w:sz w:val="20"/>
      </w:rPr>
      <w:instrText xml:space="preserve"> PAGE   \* MERGEFORMAT </w:instrText>
    </w:r>
    <w:r w:rsidRPr="00BB77B2">
      <w:rPr>
        <w:sz w:val="20"/>
      </w:rPr>
      <w:fldChar w:fldCharType="separate"/>
    </w:r>
    <w:r w:rsidRPr="00BB77B2">
      <w:rPr>
        <w:noProof/>
        <w:sz w:val="20"/>
      </w:rPr>
      <w:t>2</w:t>
    </w:r>
    <w:r w:rsidRPr="00BB77B2">
      <w:rPr>
        <w:noProof/>
        <w:sz w:val="20"/>
      </w:rPr>
      <w:fldChar w:fldCharType="end"/>
    </w:r>
  </w:p>
  <w:p w14:paraId="43EBC804" w14:textId="77777777" w:rsidR="005724B5" w:rsidRDefault="005724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A2BB0" w14:textId="77777777" w:rsidR="005724B5" w:rsidRDefault="005724B5">
    <w:pPr>
      <w:pStyle w:val="Footer"/>
      <w:jc w:val="right"/>
    </w:pPr>
    <w:r w:rsidRPr="00BB77B2">
      <w:rPr>
        <w:sz w:val="20"/>
      </w:rPr>
      <w:fldChar w:fldCharType="begin"/>
    </w:r>
    <w:r w:rsidRPr="00BB77B2">
      <w:rPr>
        <w:sz w:val="20"/>
      </w:rPr>
      <w:instrText xml:space="preserve"> PAGE   \* MERGEFORMAT </w:instrText>
    </w:r>
    <w:r w:rsidRPr="00BB77B2">
      <w:rPr>
        <w:sz w:val="20"/>
      </w:rPr>
      <w:fldChar w:fldCharType="separate"/>
    </w:r>
    <w:r w:rsidRPr="00BB77B2">
      <w:rPr>
        <w:noProof/>
        <w:sz w:val="20"/>
      </w:rPr>
      <w:t>2</w:t>
    </w:r>
    <w:r w:rsidRPr="00BB77B2">
      <w:rPr>
        <w:noProof/>
        <w:sz w:val="20"/>
      </w:rPr>
      <w:fldChar w:fldCharType="end"/>
    </w:r>
  </w:p>
  <w:p w14:paraId="1A1AAC59" w14:textId="77777777" w:rsidR="005724B5" w:rsidRDefault="005724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26443" w14:textId="77777777" w:rsidR="00165183" w:rsidRDefault="00165183" w:rsidP="00844263">
      <w:r>
        <w:separator/>
      </w:r>
    </w:p>
  </w:footnote>
  <w:footnote w:type="continuationSeparator" w:id="0">
    <w:p w14:paraId="0FA6D888" w14:textId="77777777" w:rsidR="00165183" w:rsidRDefault="00165183" w:rsidP="008442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04188"/>
    <w:multiLevelType w:val="hybridMultilevel"/>
    <w:tmpl w:val="89DE72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394883"/>
    <w:multiLevelType w:val="hybridMultilevel"/>
    <w:tmpl w:val="0E04188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0929C3"/>
    <w:multiLevelType w:val="hybridMultilevel"/>
    <w:tmpl w:val="BEBEEF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040728"/>
    <w:multiLevelType w:val="hybridMultilevel"/>
    <w:tmpl w:val="857EB9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D24CAF"/>
    <w:multiLevelType w:val="hybridMultilevel"/>
    <w:tmpl w:val="1E7E2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995D1D"/>
    <w:multiLevelType w:val="hybridMultilevel"/>
    <w:tmpl w:val="BD54F02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23F5320A"/>
    <w:multiLevelType w:val="hybridMultilevel"/>
    <w:tmpl w:val="EAD0EC0C"/>
    <w:lvl w:ilvl="0" w:tplc="08090001">
      <w:start w:val="1"/>
      <w:numFmt w:val="bullet"/>
      <w:lvlText w:val=""/>
      <w:lvlJc w:val="left"/>
      <w:pPr>
        <w:ind w:left="1778" w:hanging="360"/>
      </w:pPr>
      <w:rPr>
        <w:rFonts w:ascii="Symbol" w:hAnsi="Symbol"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15:restartNumberingAfterBreak="0">
    <w:nsid w:val="2C87710F"/>
    <w:multiLevelType w:val="hybridMultilevel"/>
    <w:tmpl w:val="5E10EC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0E3DD3"/>
    <w:multiLevelType w:val="hybridMultilevel"/>
    <w:tmpl w:val="EC8AF0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102C6E"/>
    <w:multiLevelType w:val="hybridMultilevel"/>
    <w:tmpl w:val="D3A8887C"/>
    <w:lvl w:ilvl="0" w:tplc="08090011">
      <w:start w:val="1"/>
      <w:numFmt w:val="decimal"/>
      <w:lvlText w:val="%1)"/>
      <w:lvlJc w:val="left"/>
      <w:pPr>
        <w:ind w:left="720" w:hanging="360"/>
      </w:pPr>
    </w:lvl>
    <w:lvl w:ilvl="1" w:tplc="6B16B41C">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02549EF"/>
    <w:multiLevelType w:val="hybridMultilevel"/>
    <w:tmpl w:val="20B62AB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553F32"/>
    <w:multiLevelType w:val="hybridMultilevel"/>
    <w:tmpl w:val="4E80F0FE"/>
    <w:lvl w:ilvl="0" w:tplc="1E74878C">
      <w:numFmt w:val="bullet"/>
      <w:lvlText w:val="•"/>
      <w:lvlJc w:val="left"/>
      <w:pPr>
        <w:ind w:left="1778" w:hanging="360"/>
      </w:pPr>
      <w:rPr>
        <w:rFonts w:ascii="Times New Roman" w:eastAsia="Times New Roma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2" w15:restartNumberingAfterBreak="0">
    <w:nsid w:val="4B3869A8"/>
    <w:multiLevelType w:val="hybridMultilevel"/>
    <w:tmpl w:val="3C0CEC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7290771"/>
    <w:multiLevelType w:val="hybridMultilevel"/>
    <w:tmpl w:val="3C1A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FF1A14"/>
    <w:multiLevelType w:val="hybridMultilevel"/>
    <w:tmpl w:val="6A967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812623B"/>
    <w:multiLevelType w:val="hybridMultilevel"/>
    <w:tmpl w:val="63AC4E78"/>
    <w:lvl w:ilvl="0" w:tplc="6CB03E4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600F6C89"/>
    <w:multiLevelType w:val="hybridMultilevel"/>
    <w:tmpl w:val="3662B3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40A2A1B"/>
    <w:multiLevelType w:val="hybridMultilevel"/>
    <w:tmpl w:val="10C22A24"/>
    <w:lvl w:ilvl="0" w:tplc="08090001">
      <w:start w:val="1"/>
      <w:numFmt w:val="bullet"/>
      <w:lvlText w:val=""/>
      <w:lvlJc w:val="left"/>
      <w:pPr>
        <w:ind w:left="1145" w:hanging="360"/>
      </w:pPr>
      <w:rPr>
        <w:rFonts w:ascii="Symbol" w:hAnsi="Symbol"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8" w15:restartNumberingAfterBreak="0">
    <w:nsid w:val="6486442E"/>
    <w:multiLevelType w:val="hybridMultilevel"/>
    <w:tmpl w:val="9F2C07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7F6C"/>
    <w:multiLevelType w:val="hybridMultilevel"/>
    <w:tmpl w:val="6DD06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F916C5F"/>
    <w:multiLevelType w:val="hybridMultilevel"/>
    <w:tmpl w:val="8F8EA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1E0613"/>
    <w:multiLevelType w:val="hybridMultilevel"/>
    <w:tmpl w:val="4ADE7E3E"/>
    <w:lvl w:ilvl="0" w:tplc="08090001">
      <w:start w:val="1"/>
      <w:numFmt w:val="bullet"/>
      <w:lvlText w:val=""/>
      <w:lvlJc w:val="left"/>
      <w:pPr>
        <w:ind w:left="1080" w:hanging="72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6C20A5"/>
    <w:multiLevelType w:val="hybridMultilevel"/>
    <w:tmpl w:val="36F00C88"/>
    <w:lvl w:ilvl="0" w:tplc="08090001">
      <w:start w:val="1"/>
      <w:numFmt w:val="bullet"/>
      <w:lvlText w:val=""/>
      <w:lvlJc w:val="left"/>
      <w:pPr>
        <w:ind w:left="1778" w:hanging="360"/>
      </w:pPr>
      <w:rPr>
        <w:rFonts w:ascii="Symbol" w:hAnsi="Symbol"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3" w15:restartNumberingAfterBreak="0">
    <w:nsid w:val="773B7778"/>
    <w:multiLevelType w:val="hybridMultilevel"/>
    <w:tmpl w:val="6BB0CBA0"/>
    <w:lvl w:ilvl="0" w:tplc="1E7487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AA0B5E"/>
    <w:multiLevelType w:val="hybridMultilevel"/>
    <w:tmpl w:val="FE7A583C"/>
    <w:lvl w:ilvl="0" w:tplc="23060D2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7A153B8C"/>
    <w:multiLevelType w:val="hybridMultilevel"/>
    <w:tmpl w:val="70307C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733148"/>
    <w:multiLevelType w:val="hybridMultilevel"/>
    <w:tmpl w:val="EA3A4CB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7BB3540E"/>
    <w:multiLevelType w:val="hybridMultilevel"/>
    <w:tmpl w:val="EB5CB9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20885174">
    <w:abstractNumId w:val="9"/>
  </w:num>
  <w:num w:numId="2" w16cid:durableId="850100161">
    <w:abstractNumId w:val="7"/>
  </w:num>
  <w:num w:numId="3" w16cid:durableId="269052251">
    <w:abstractNumId w:val="20"/>
  </w:num>
  <w:num w:numId="4" w16cid:durableId="1217861373">
    <w:abstractNumId w:val="1"/>
  </w:num>
  <w:num w:numId="5" w16cid:durableId="327557639">
    <w:abstractNumId w:val="27"/>
  </w:num>
  <w:num w:numId="6" w16cid:durableId="1736050613">
    <w:abstractNumId w:val="21"/>
  </w:num>
  <w:num w:numId="7" w16cid:durableId="1032461852">
    <w:abstractNumId w:val="2"/>
  </w:num>
  <w:num w:numId="8" w16cid:durableId="1956135252">
    <w:abstractNumId w:val="19"/>
  </w:num>
  <w:num w:numId="9" w16cid:durableId="2093892408">
    <w:abstractNumId w:val="18"/>
  </w:num>
  <w:num w:numId="10" w16cid:durableId="97913278">
    <w:abstractNumId w:val="8"/>
  </w:num>
  <w:num w:numId="11" w16cid:durableId="2058700647">
    <w:abstractNumId w:val="0"/>
  </w:num>
  <w:num w:numId="12" w16cid:durableId="1174951371">
    <w:abstractNumId w:val="10"/>
  </w:num>
  <w:num w:numId="13" w16cid:durableId="1622109156">
    <w:abstractNumId w:val="24"/>
  </w:num>
  <w:num w:numId="14" w16cid:durableId="1596010224">
    <w:abstractNumId w:val="15"/>
  </w:num>
  <w:num w:numId="15" w16cid:durableId="1069116801">
    <w:abstractNumId w:val="5"/>
  </w:num>
  <w:num w:numId="16" w16cid:durableId="331488753">
    <w:abstractNumId w:val="14"/>
  </w:num>
  <w:num w:numId="17" w16cid:durableId="1940479459">
    <w:abstractNumId w:val="16"/>
  </w:num>
  <w:num w:numId="18" w16cid:durableId="415710161">
    <w:abstractNumId w:val="25"/>
  </w:num>
  <w:num w:numId="19" w16cid:durableId="1665551369">
    <w:abstractNumId w:val="4"/>
  </w:num>
  <w:num w:numId="20" w16cid:durableId="1489401397">
    <w:abstractNumId w:val="23"/>
  </w:num>
  <w:num w:numId="21" w16cid:durableId="1624845634">
    <w:abstractNumId w:val="12"/>
  </w:num>
  <w:num w:numId="22" w16cid:durableId="1964379590">
    <w:abstractNumId w:val="11"/>
  </w:num>
  <w:num w:numId="23" w16cid:durableId="521284287">
    <w:abstractNumId w:val="6"/>
  </w:num>
  <w:num w:numId="24" w16cid:durableId="1935358124">
    <w:abstractNumId w:val="22"/>
  </w:num>
  <w:num w:numId="25" w16cid:durableId="2005084815">
    <w:abstractNumId w:val="26"/>
  </w:num>
  <w:num w:numId="26" w16cid:durableId="803347186">
    <w:abstractNumId w:val="3"/>
  </w:num>
  <w:num w:numId="27" w16cid:durableId="1793472283">
    <w:abstractNumId w:val="13"/>
  </w:num>
  <w:num w:numId="28" w16cid:durableId="1344555567">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884"/>
    <w:rsid w:val="00002B73"/>
    <w:rsid w:val="0000309E"/>
    <w:rsid w:val="00005EF8"/>
    <w:rsid w:val="00011E06"/>
    <w:rsid w:val="0001414B"/>
    <w:rsid w:val="00016D51"/>
    <w:rsid w:val="00020957"/>
    <w:rsid w:val="000228A7"/>
    <w:rsid w:val="000239E7"/>
    <w:rsid w:val="00023FC3"/>
    <w:rsid w:val="00024108"/>
    <w:rsid w:val="00025B2E"/>
    <w:rsid w:val="00034296"/>
    <w:rsid w:val="00035316"/>
    <w:rsid w:val="00036CC4"/>
    <w:rsid w:val="00041814"/>
    <w:rsid w:val="00043017"/>
    <w:rsid w:val="00043629"/>
    <w:rsid w:val="00046D24"/>
    <w:rsid w:val="00054025"/>
    <w:rsid w:val="00060A2B"/>
    <w:rsid w:val="000613D4"/>
    <w:rsid w:val="0006142D"/>
    <w:rsid w:val="00061F4D"/>
    <w:rsid w:val="0006309C"/>
    <w:rsid w:val="00066054"/>
    <w:rsid w:val="00070B38"/>
    <w:rsid w:val="00070B91"/>
    <w:rsid w:val="00070FE9"/>
    <w:rsid w:val="00073C53"/>
    <w:rsid w:val="000833E7"/>
    <w:rsid w:val="0008445C"/>
    <w:rsid w:val="00086D3A"/>
    <w:rsid w:val="00091E2E"/>
    <w:rsid w:val="00093986"/>
    <w:rsid w:val="000960CB"/>
    <w:rsid w:val="00096A26"/>
    <w:rsid w:val="00097199"/>
    <w:rsid w:val="000A0A6B"/>
    <w:rsid w:val="000A101E"/>
    <w:rsid w:val="000A6767"/>
    <w:rsid w:val="000A739A"/>
    <w:rsid w:val="000B3787"/>
    <w:rsid w:val="000C15D3"/>
    <w:rsid w:val="000C1BC2"/>
    <w:rsid w:val="000C20E0"/>
    <w:rsid w:val="000C2196"/>
    <w:rsid w:val="000C3809"/>
    <w:rsid w:val="000C5C5B"/>
    <w:rsid w:val="000C6475"/>
    <w:rsid w:val="000C77F6"/>
    <w:rsid w:val="000D01DC"/>
    <w:rsid w:val="000D6593"/>
    <w:rsid w:val="000D70D2"/>
    <w:rsid w:val="000D7CC6"/>
    <w:rsid w:val="000E0B29"/>
    <w:rsid w:val="000E16A4"/>
    <w:rsid w:val="000E1E30"/>
    <w:rsid w:val="000E35A3"/>
    <w:rsid w:val="000E41D2"/>
    <w:rsid w:val="000F05E5"/>
    <w:rsid w:val="000F1E77"/>
    <w:rsid w:val="000F469D"/>
    <w:rsid w:val="0010115A"/>
    <w:rsid w:val="001027DC"/>
    <w:rsid w:val="001029F3"/>
    <w:rsid w:val="00106A0B"/>
    <w:rsid w:val="00111467"/>
    <w:rsid w:val="001157DB"/>
    <w:rsid w:val="00117226"/>
    <w:rsid w:val="001174C8"/>
    <w:rsid w:val="00120C10"/>
    <w:rsid w:val="001257C4"/>
    <w:rsid w:val="001270BE"/>
    <w:rsid w:val="00127647"/>
    <w:rsid w:val="00127915"/>
    <w:rsid w:val="00136E41"/>
    <w:rsid w:val="001406CF"/>
    <w:rsid w:val="00140FFB"/>
    <w:rsid w:val="00142408"/>
    <w:rsid w:val="00142DA1"/>
    <w:rsid w:val="0014385C"/>
    <w:rsid w:val="00143BBB"/>
    <w:rsid w:val="0014678C"/>
    <w:rsid w:val="00152391"/>
    <w:rsid w:val="00155055"/>
    <w:rsid w:val="0015553E"/>
    <w:rsid w:val="00155B05"/>
    <w:rsid w:val="00160B54"/>
    <w:rsid w:val="0016172E"/>
    <w:rsid w:val="00163314"/>
    <w:rsid w:val="00165183"/>
    <w:rsid w:val="001670C9"/>
    <w:rsid w:val="0017003B"/>
    <w:rsid w:val="00175318"/>
    <w:rsid w:val="00175CA0"/>
    <w:rsid w:val="001807B0"/>
    <w:rsid w:val="00182E48"/>
    <w:rsid w:val="001871B0"/>
    <w:rsid w:val="00190CD6"/>
    <w:rsid w:val="00193D63"/>
    <w:rsid w:val="00194243"/>
    <w:rsid w:val="001965EF"/>
    <w:rsid w:val="001A39B1"/>
    <w:rsid w:val="001A7C2C"/>
    <w:rsid w:val="001B2C2E"/>
    <w:rsid w:val="001B3AEE"/>
    <w:rsid w:val="001B3DF5"/>
    <w:rsid w:val="001B428D"/>
    <w:rsid w:val="001B5535"/>
    <w:rsid w:val="001B5F16"/>
    <w:rsid w:val="001C2645"/>
    <w:rsid w:val="001C6E8B"/>
    <w:rsid w:val="001D11D3"/>
    <w:rsid w:val="001D3C96"/>
    <w:rsid w:val="001D568F"/>
    <w:rsid w:val="001D5ADA"/>
    <w:rsid w:val="001D681A"/>
    <w:rsid w:val="001E34F4"/>
    <w:rsid w:val="00210870"/>
    <w:rsid w:val="002121F1"/>
    <w:rsid w:val="00213018"/>
    <w:rsid w:val="00216567"/>
    <w:rsid w:val="00222C58"/>
    <w:rsid w:val="00223569"/>
    <w:rsid w:val="00223E9F"/>
    <w:rsid w:val="00225213"/>
    <w:rsid w:val="00230512"/>
    <w:rsid w:val="00230DA2"/>
    <w:rsid w:val="00230E8E"/>
    <w:rsid w:val="00230F8A"/>
    <w:rsid w:val="00231AE9"/>
    <w:rsid w:val="00233ADB"/>
    <w:rsid w:val="00237083"/>
    <w:rsid w:val="00242CDD"/>
    <w:rsid w:val="00243ECA"/>
    <w:rsid w:val="00246170"/>
    <w:rsid w:val="00246944"/>
    <w:rsid w:val="002531D0"/>
    <w:rsid w:val="00253C84"/>
    <w:rsid w:val="002602C0"/>
    <w:rsid w:val="00264151"/>
    <w:rsid w:val="00265CFD"/>
    <w:rsid w:val="00270C05"/>
    <w:rsid w:val="0027110C"/>
    <w:rsid w:val="00271757"/>
    <w:rsid w:val="00274849"/>
    <w:rsid w:val="00290BAB"/>
    <w:rsid w:val="002A1399"/>
    <w:rsid w:val="002A1777"/>
    <w:rsid w:val="002A4921"/>
    <w:rsid w:val="002A5D3C"/>
    <w:rsid w:val="002A79EF"/>
    <w:rsid w:val="002B0C67"/>
    <w:rsid w:val="002B1BC6"/>
    <w:rsid w:val="002B572B"/>
    <w:rsid w:val="002B5C99"/>
    <w:rsid w:val="002C014D"/>
    <w:rsid w:val="002C05E1"/>
    <w:rsid w:val="002C2C9F"/>
    <w:rsid w:val="002C3389"/>
    <w:rsid w:val="002C698E"/>
    <w:rsid w:val="002D0038"/>
    <w:rsid w:val="002D63E2"/>
    <w:rsid w:val="002E17A8"/>
    <w:rsid w:val="002E513F"/>
    <w:rsid w:val="002E6756"/>
    <w:rsid w:val="002F0F6A"/>
    <w:rsid w:val="002F551C"/>
    <w:rsid w:val="003017EF"/>
    <w:rsid w:val="00303A42"/>
    <w:rsid w:val="003101FA"/>
    <w:rsid w:val="00311449"/>
    <w:rsid w:val="00313DFF"/>
    <w:rsid w:val="00316A81"/>
    <w:rsid w:val="00320304"/>
    <w:rsid w:val="00325ED4"/>
    <w:rsid w:val="00335102"/>
    <w:rsid w:val="0033545B"/>
    <w:rsid w:val="00340CF0"/>
    <w:rsid w:val="00340ECC"/>
    <w:rsid w:val="0034290D"/>
    <w:rsid w:val="00343242"/>
    <w:rsid w:val="0034351A"/>
    <w:rsid w:val="0034514A"/>
    <w:rsid w:val="003461EB"/>
    <w:rsid w:val="00352CF6"/>
    <w:rsid w:val="0035478D"/>
    <w:rsid w:val="00357635"/>
    <w:rsid w:val="003605CA"/>
    <w:rsid w:val="00361CC7"/>
    <w:rsid w:val="00363884"/>
    <w:rsid w:val="00366923"/>
    <w:rsid w:val="00370A6B"/>
    <w:rsid w:val="0037102B"/>
    <w:rsid w:val="00371D6E"/>
    <w:rsid w:val="00374ACD"/>
    <w:rsid w:val="00376B8B"/>
    <w:rsid w:val="00385606"/>
    <w:rsid w:val="0039013B"/>
    <w:rsid w:val="003916CB"/>
    <w:rsid w:val="003921F7"/>
    <w:rsid w:val="0039274D"/>
    <w:rsid w:val="0039568A"/>
    <w:rsid w:val="00396F4E"/>
    <w:rsid w:val="003A340E"/>
    <w:rsid w:val="003A37F9"/>
    <w:rsid w:val="003A416E"/>
    <w:rsid w:val="003A7258"/>
    <w:rsid w:val="003B3BF4"/>
    <w:rsid w:val="003B3D44"/>
    <w:rsid w:val="003C1AB7"/>
    <w:rsid w:val="003C2813"/>
    <w:rsid w:val="003C3A30"/>
    <w:rsid w:val="003D1B54"/>
    <w:rsid w:val="003E1325"/>
    <w:rsid w:val="003E5622"/>
    <w:rsid w:val="003E7843"/>
    <w:rsid w:val="003E788F"/>
    <w:rsid w:val="003F0129"/>
    <w:rsid w:val="003F1BF4"/>
    <w:rsid w:val="003F350E"/>
    <w:rsid w:val="003F6091"/>
    <w:rsid w:val="003F703C"/>
    <w:rsid w:val="004027D3"/>
    <w:rsid w:val="004078DA"/>
    <w:rsid w:val="00413B55"/>
    <w:rsid w:val="00413F81"/>
    <w:rsid w:val="00415DA2"/>
    <w:rsid w:val="004201F8"/>
    <w:rsid w:val="004227E0"/>
    <w:rsid w:val="00426EA9"/>
    <w:rsid w:val="004303FD"/>
    <w:rsid w:val="00431F18"/>
    <w:rsid w:val="00435581"/>
    <w:rsid w:val="004361B1"/>
    <w:rsid w:val="004373BE"/>
    <w:rsid w:val="00443E3D"/>
    <w:rsid w:val="0045134E"/>
    <w:rsid w:val="00451BC9"/>
    <w:rsid w:val="004533A0"/>
    <w:rsid w:val="00455DE3"/>
    <w:rsid w:val="00456A45"/>
    <w:rsid w:val="00457780"/>
    <w:rsid w:val="0047044D"/>
    <w:rsid w:val="004728E1"/>
    <w:rsid w:val="00473581"/>
    <w:rsid w:val="0047565D"/>
    <w:rsid w:val="004756DC"/>
    <w:rsid w:val="00475D52"/>
    <w:rsid w:val="00481587"/>
    <w:rsid w:val="00484876"/>
    <w:rsid w:val="00485974"/>
    <w:rsid w:val="00490A14"/>
    <w:rsid w:val="00491878"/>
    <w:rsid w:val="00492512"/>
    <w:rsid w:val="00495B9F"/>
    <w:rsid w:val="00495C51"/>
    <w:rsid w:val="004A104F"/>
    <w:rsid w:val="004A1313"/>
    <w:rsid w:val="004A2815"/>
    <w:rsid w:val="004A4A47"/>
    <w:rsid w:val="004A770F"/>
    <w:rsid w:val="004B0069"/>
    <w:rsid w:val="004B12A5"/>
    <w:rsid w:val="004B5413"/>
    <w:rsid w:val="004B6709"/>
    <w:rsid w:val="004C5F95"/>
    <w:rsid w:val="004C6EE5"/>
    <w:rsid w:val="004C708D"/>
    <w:rsid w:val="004C71E6"/>
    <w:rsid w:val="004D0310"/>
    <w:rsid w:val="004D59CB"/>
    <w:rsid w:val="004D67E3"/>
    <w:rsid w:val="004D6AC8"/>
    <w:rsid w:val="004E13F7"/>
    <w:rsid w:val="004E667C"/>
    <w:rsid w:val="004E6A10"/>
    <w:rsid w:val="004E7522"/>
    <w:rsid w:val="004F1077"/>
    <w:rsid w:val="004F2599"/>
    <w:rsid w:val="004F3B0E"/>
    <w:rsid w:val="004F4CDF"/>
    <w:rsid w:val="004F6D1E"/>
    <w:rsid w:val="00506AF5"/>
    <w:rsid w:val="0051001F"/>
    <w:rsid w:val="00511701"/>
    <w:rsid w:val="00513A12"/>
    <w:rsid w:val="00514A7A"/>
    <w:rsid w:val="0051783F"/>
    <w:rsid w:val="00521CCA"/>
    <w:rsid w:val="005221B3"/>
    <w:rsid w:val="005232AE"/>
    <w:rsid w:val="00523988"/>
    <w:rsid w:val="005244B9"/>
    <w:rsid w:val="005262C4"/>
    <w:rsid w:val="0052714A"/>
    <w:rsid w:val="00532A41"/>
    <w:rsid w:val="00532C19"/>
    <w:rsid w:val="00532DF8"/>
    <w:rsid w:val="00534646"/>
    <w:rsid w:val="00536FBF"/>
    <w:rsid w:val="00541A11"/>
    <w:rsid w:val="00542AA4"/>
    <w:rsid w:val="00545888"/>
    <w:rsid w:val="00545948"/>
    <w:rsid w:val="00552579"/>
    <w:rsid w:val="005610E0"/>
    <w:rsid w:val="0056162C"/>
    <w:rsid w:val="005626B5"/>
    <w:rsid w:val="00562A37"/>
    <w:rsid w:val="005651B2"/>
    <w:rsid w:val="005672DB"/>
    <w:rsid w:val="00567965"/>
    <w:rsid w:val="00571141"/>
    <w:rsid w:val="0057175B"/>
    <w:rsid w:val="00571ACE"/>
    <w:rsid w:val="005724B5"/>
    <w:rsid w:val="005752FC"/>
    <w:rsid w:val="00575943"/>
    <w:rsid w:val="00581AE4"/>
    <w:rsid w:val="005835A9"/>
    <w:rsid w:val="00586AC4"/>
    <w:rsid w:val="0059498C"/>
    <w:rsid w:val="00594E99"/>
    <w:rsid w:val="005953F8"/>
    <w:rsid w:val="005A07F3"/>
    <w:rsid w:val="005A29A7"/>
    <w:rsid w:val="005A3B61"/>
    <w:rsid w:val="005A50CA"/>
    <w:rsid w:val="005A6ABB"/>
    <w:rsid w:val="005B27B3"/>
    <w:rsid w:val="005B3265"/>
    <w:rsid w:val="005B3765"/>
    <w:rsid w:val="005B49E6"/>
    <w:rsid w:val="005B63D6"/>
    <w:rsid w:val="005B77C2"/>
    <w:rsid w:val="005C0AD4"/>
    <w:rsid w:val="005C3920"/>
    <w:rsid w:val="005C4BF7"/>
    <w:rsid w:val="005C60AA"/>
    <w:rsid w:val="005D1EF9"/>
    <w:rsid w:val="005D3AFE"/>
    <w:rsid w:val="005D5999"/>
    <w:rsid w:val="005E01E5"/>
    <w:rsid w:val="005E2BE6"/>
    <w:rsid w:val="005E4660"/>
    <w:rsid w:val="005E5467"/>
    <w:rsid w:val="005E5663"/>
    <w:rsid w:val="005E6A30"/>
    <w:rsid w:val="005E72C9"/>
    <w:rsid w:val="005E7B15"/>
    <w:rsid w:val="005F0830"/>
    <w:rsid w:val="005F1A68"/>
    <w:rsid w:val="005F4C31"/>
    <w:rsid w:val="0060302C"/>
    <w:rsid w:val="0060401A"/>
    <w:rsid w:val="006046F6"/>
    <w:rsid w:val="00610260"/>
    <w:rsid w:val="00610BD4"/>
    <w:rsid w:val="006122F0"/>
    <w:rsid w:val="006139CE"/>
    <w:rsid w:val="00614145"/>
    <w:rsid w:val="006158AC"/>
    <w:rsid w:val="0061759E"/>
    <w:rsid w:val="006201FF"/>
    <w:rsid w:val="006256BE"/>
    <w:rsid w:val="00630953"/>
    <w:rsid w:val="00633CE9"/>
    <w:rsid w:val="006366B5"/>
    <w:rsid w:val="00637FAE"/>
    <w:rsid w:val="00641A47"/>
    <w:rsid w:val="006421B4"/>
    <w:rsid w:val="00645042"/>
    <w:rsid w:val="00646561"/>
    <w:rsid w:val="00646EA0"/>
    <w:rsid w:val="0064709C"/>
    <w:rsid w:val="00650F1D"/>
    <w:rsid w:val="00651F16"/>
    <w:rsid w:val="00667766"/>
    <w:rsid w:val="00667BD9"/>
    <w:rsid w:val="0068022C"/>
    <w:rsid w:val="006820E8"/>
    <w:rsid w:val="00682A1E"/>
    <w:rsid w:val="00686A90"/>
    <w:rsid w:val="00687131"/>
    <w:rsid w:val="0069265C"/>
    <w:rsid w:val="006935E0"/>
    <w:rsid w:val="00694FB6"/>
    <w:rsid w:val="00695285"/>
    <w:rsid w:val="006A056C"/>
    <w:rsid w:val="006A0C86"/>
    <w:rsid w:val="006A10B7"/>
    <w:rsid w:val="006B0BF7"/>
    <w:rsid w:val="006B4D45"/>
    <w:rsid w:val="006B6D0B"/>
    <w:rsid w:val="006B756F"/>
    <w:rsid w:val="006B772F"/>
    <w:rsid w:val="006C2C0F"/>
    <w:rsid w:val="006D0756"/>
    <w:rsid w:val="006D7339"/>
    <w:rsid w:val="006E059C"/>
    <w:rsid w:val="006E69C2"/>
    <w:rsid w:val="006E7BE0"/>
    <w:rsid w:val="006F24F9"/>
    <w:rsid w:val="006F3A02"/>
    <w:rsid w:val="006F6CDE"/>
    <w:rsid w:val="006F70C5"/>
    <w:rsid w:val="006F7B71"/>
    <w:rsid w:val="0070104A"/>
    <w:rsid w:val="00704822"/>
    <w:rsid w:val="00705A35"/>
    <w:rsid w:val="0070647B"/>
    <w:rsid w:val="00706D86"/>
    <w:rsid w:val="007118C0"/>
    <w:rsid w:val="00712479"/>
    <w:rsid w:val="00715574"/>
    <w:rsid w:val="00717DBA"/>
    <w:rsid w:val="00720AEA"/>
    <w:rsid w:val="007256A6"/>
    <w:rsid w:val="00727046"/>
    <w:rsid w:val="0073237D"/>
    <w:rsid w:val="0073318D"/>
    <w:rsid w:val="0073418A"/>
    <w:rsid w:val="007411FF"/>
    <w:rsid w:val="007455F9"/>
    <w:rsid w:val="0075102B"/>
    <w:rsid w:val="00753A41"/>
    <w:rsid w:val="00755125"/>
    <w:rsid w:val="0075575E"/>
    <w:rsid w:val="00756238"/>
    <w:rsid w:val="0075734C"/>
    <w:rsid w:val="0076026C"/>
    <w:rsid w:val="007638B1"/>
    <w:rsid w:val="00764F1C"/>
    <w:rsid w:val="00770091"/>
    <w:rsid w:val="00770826"/>
    <w:rsid w:val="00770FA1"/>
    <w:rsid w:val="007774E5"/>
    <w:rsid w:val="00777DE1"/>
    <w:rsid w:val="00781F13"/>
    <w:rsid w:val="0078381C"/>
    <w:rsid w:val="007905FF"/>
    <w:rsid w:val="00790D25"/>
    <w:rsid w:val="0079179E"/>
    <w:rsid w:val="007935F3"/>
    <w:rsid w:val="007937F2"/>
    <w:rsid w:val="00796E39"/>
    <w:rsid w:val="007A4CF7"/>
    <w:rsid w:val="007A683B"/>
    <w:rsid w:val="007B365D"/>
    <w:rsid w:val="007B5A70"/>
    <w:rsid w:val="007C0098"/>
    <w:rsid w:val="007C5AAB"/>
    <w:rsid w:val="007C7720"/>
    <w:rsid w:val="007D0135"/>
    <w:rsid w:val="007D5116"/>
    <w:rsid w:val="007D6780"/>
    <w:rsid w:val="007E025E"/>
    <w:rsid w:val="007E1079"/>
    <w:rsid w:val="007E4E99"/>
    <w:rsid w:val="007E523D"/>
    <w:rsid w:val="007F0D13"/>
    <w:rsid w:val="007F15B4"/>
    <w:rsid w:val="007F19B8"/>
    <w:rsid w:val="007F1F38"/>
    <w:rsid w:val="007F7A1E"/>
    <w:rsid w:val="008005B4"/>
    <w:rsid w:val="00800930"/>
    <w:rsid w:val="00800EAA"/>
    <w:rsid w:val="008018A4"/>
    <w:rsid w:val="00804991"/>
    <w:rsid w:val="0081563F"/>
    <w:rsid w:val="00815EEE"/>
    <w:rsid w:val="0081641D"/>
    <w:rsid w:val="00821E7A"/>
    <w:rsid w:val="00823E51"/>
    <w:rsid w:val="00825211"/>
    <w:rsid w:val="0082578D"/>
    <w:rsid w:val="00832149"/>
    <w:rsid w:val="00832D4A"/>
    <w:rsid w:val="00835A55"/>
    <w:rsid w:val="00835B83"/>
    <w:rsid w:val="00835CB9"/>
    <w:rsid w:val="00836112"/>
    <w:rsid w:val="00836153"/>
    <w:rsid w:val="00840B13"/>
    <w:rsid w:val="00842F27"/>
    <w:rsid w:val="008434D1"/>
    <w:rsid w:val="00844263"/>
    <w:rsid w:val="0084498C"/>
    <w:rsid w:val="00845884"/>
    <w:rsid w:val="0085012D"/>
    <w:rsid w:val="00855487"/>
    <w:rsid w:val="00855989"/>
    <w:rsid w:val="00855DCC"/>
    <w:rsid w:val="00862BF1"/>
    <w:rsid w:val="00863B47"/>
    <w:rsid w:val="008653CE"/>
    <w:rsid w:val="00870EA3"/>
    <w:rsid w:val="00874AFA"/>
    <w:rsid w:val="00877FCF"/>
    <w:rsid w:val="00880DE2"/>
    <w:rsid w:val="00881E6E"/>
    <w:rsid w:val="008834B4"/>
    <w:rsid w:val="0088449A"/>
    <w:rsid w:val="00884686"/>
    <w:rsid w:val="00884CBF"/>
    <w:rsid w:val="00890B34"/>
    <w:rsid w:val="008920D2"/>
    <w:rsid w:val="008A258C"/>
    <w:rsid w:val="008B1531"/>
    <w:rsid w:val="008B35F0"/>
    <w:rsid w:val="008B4602"/>
    <w:rsid w:val="008B489F"/>
    <w:rsid w:val="008B61D6"/>
    <w:rsid w:val="008B6EFF"/>
    <w:rsid w:val="008B74DF"/>
    <w:rsid w:val="008C1604"/>
    <w:rsid w:val="008C245C"/>
    <w:rsid w:val="008C3D17"/>
    <w:rsid w:val="008D24B8"/>
    <w:rsid w:val="008D499E"/>
    <w:rsid w:val="008D4E35"/>
    <w:rsid w:val="008D4E43"/>
    <w:rsid w:val="008D5B9D"/>
    <w:rsid w:val="008E22DF"/>
    <w:rsid w:val="008E28C5"/>
    <w:rsid w:val="008E2EED"/>
    <w:rsid w:val="008E3B5D"/>
    <w:rsid w:val="008E5475"/>
    <w:rsid w:val="008E66C7"/>
    <w:rsid w:val="008E72D3"/>
    <w:rsid w:val="008F1388"/>
    <w:rsid w:val="008F4E03"/>
    <w:rsid w:val="008F76CD"/>
    <w:rsid w:val="00900186"/>
    <w:rsid w:val="00900AFB"/>
    <w:rsid w:val="00903508"/>
    <w:rsid w:val="00904257"/>
    <w:rsid w:val="00906385"/>
    <w:rsid w:val="009108E9"/>
    <w:rsid w:val="009200EE"/>
    <w:rsid w:val="00920367"/>
    <w:rsid w:val="00920FCE"/>
    <w:rsid w:val="00923207"/>
    <w:rsid w:val="00923F50"/>
    <w:rsid w:val="00924384"/>
    <w:rsid w:val="00925933"/>
    <w:rsid w:val="00927A61"/>
    <w:rsid w:val="00934BED"/>
    <w:rsid w:val="00935B6E"/>
    <w:rsid w:val="009369A1"/>
    <w:rsid w:val="00940B90"/>
    <w:rsid w:val="00943B2E"/>
    <w:rsid w:val="009565F7"/>
    <w:rsid w:val="0096218F"/>
    <w:rsid w:val="009706DC"/>
    <w:rsid w:val="0097124B"/>
    <w:rsid w:val="00971347"/>
    <w:rsid w:val="00976F0B"/>
    <w:rsid w:val="0097712F"/>
    <w:rsid w:val="00977550"/>
    <w:rsid w:val="00980ECC"/>
    <w:rsid w:val="00985B1C"/>
    <w:rsid w:val="009861AF"/>
    <w:rsid w:val="00990009"/>
    <w:rsid w:val="0099054E"/>
    <w:rsid w:val="00990930"/>
    <w:rsid w:val="00992D5F"/>
    <w:rsid w:val="00993BB0"/>
    <w:rsid w:val="00994292"/>
    <w:rsid w:val="00996787"/>
    <w:rsid w:val="00996B68"/>
    <w:rsid w:val="00997CDF"/>
    <w:rsid w:val="009A05E8"/>
    <w:rsid w:val="009A1386"/>
    <w:rsid w:val="009A1D65"/>
    <w:rsid w:val="009A4EF6"/>
    <w:rsid w:val="009A7E19"/>
    <w:rsid w:val="009A7E90"/>
    <w:rsid w:val="009B2F80"/>
    <w:rsid w:val="009B79AB"/>
    <w:rsid w:val="009C095B"/>
    <w:rsid w:val="009C0EBD"/>
    <w:rsid w:val="009C2674"/>
    <w:rsid w:val="009C49A2"/>
    <w:rsid w:val="009D2965"/>
    <w:rsid w:val="009D3ECF"/>
    <w:rsid w:val="009D4399"/>
    <w:rsid w:val="009D5B9D"/>
    <w:rsid w:val="009D611E"/>
    <w:rsid w:val="009F0935"/>
    <w:rsid w:val="009F1293"/>
    <w:rsid w:val="009F1986"/>
    <w:rsid w:val="009F2000"/>
    <w:rsid w:val="009F6691"/>
    <w:rsid w:val="00A01F7A"/>
    <w:rsid w:val="00A0422A"/>
    <w:rsid w:val="00A05905"/>
    <w:rsid w:val="00A05FC1"/>
    <w:rsid w:val="00A0621E"/>
    <w:rsid w:val="00A06322"/>
    <w:rsid w:val="00A07059"/>
    <w:rsid w:val="00A15708"/>
    <w:rsid w:val="00A16354"/>
    <w:rsid w:val="00A167C7"/>
    <w:rsid w:val="00A205E5"/>
    <w:rsid w:val="00A271BF"/>
    <w:rsid w:val="00A311C2"/>
    <w:rsid w:val="00A32734"/>
    <w:rsid w:val="00A36868"/>
    <w:rsid w:val="00A36CB2"/>
    <w:rsid w:val="00A540CB"/>
    <w:rsid w:val="00A54DCA"/>
    <w:rsid w:val="00A57953"/>
    <w:rsid w:val="00A60337"/>
    <w:rsid w:val="00A61ABC"/>
    <w:rsid w:val="00A629D8"/>
    <w:rsid w:val="00A71F6F"/>
    <w:rsid w:val="00A744B0"/>
    <w:rsid w:val="00A745A0"/>
    <w:rsid w:val="00A758A2"/>
    <w:rsid w:val="00A75C20"/>
    <w:rsid w:val="00A77BCF"/>
    <w:rsid w:val="00A80BB4"/>
    <w:rsid w:val="00A80BBE"/>
    <w:rsid w:val="00A81364"/>
    <w:rsid w:val="00A861A0"/>
    <w:rsid w:val="00A915BD"/>
    <w:rsid w:val="00A91665"/>
    <w:rsid w:val="00A91E6D"/>
    <w:rsid w:val="00A93573"/>
    <w:rsid w:val="00A9618D"/>
    <w:rsid w:val="00A961FE"/>
    <w:rsid w:val="00A96C74"/>
    <w:rsid w:val="00A970D5"/>
    <w:rsid w:val="00AA2868"/>
    <w:rsid w:val="00AA569B"/>
    <w:rsid w:val="00AA6D78"/>
    <w:rsid w:val="00AA7851"/>
    <w:rsid w:val="00AB04B4"/>
    <w:rsid w:val="00AB09BD"/>
    <w:rsid w:val="00AB0D1A"/>
    <w:rsid w:val="00AB1162"/>
    <w:rsid w:val="00AB48C6"/>
    <w:rsid w:val="00AC7578"/>
    <w:rsid w:val="00AD07FA"/>
    <w:rsid w:val="00AD4CE9"/>
    <w:rsid w:val="00AE1973"/>
    <w:rsid w:val="00AE472C"/>
    <w:rsid w:val="00AE5021"/>
    <w:rsid w:val="00AE5386"/>
    <w:rsid w:val="00AE59AB"/>
    <w:rsid w:val="00AE6746"/>
    <w:rsid w:val="00AE68F1"/>
    <w:rsid w:val="00AF22C6"/>
    <w:rsid w:val="00AF5A5F"/>
    <w:rsid w:val="00AF6CF7"/>
    <w:rsid w:val="00AF7533"/>
    <w:rsid w:val="00B01485"/>
    <w:rsid w:val="00B01647"/>
    <w:rsid w:val="00B02A51"/>
    <w:rsid w:val="00B04D87"/>
    <w:rsid w:val="00B131D9"/>
    <w:rsid w:val="00B147B6"/>
    <w:rsid w:val="00B15FC6"/>
    <w:rsid w:val="00B16E66"/>
    <w:rsid w:val="00B21DD0"/>
    <w:rsid w:val="00B22044"/>
    <w:rsid w:val="00B22F10"/>
    <w:rsid w:val="00B23B28"/>
    <w:rsid w:val="00B26BF9"/>
    <w:rsid w:val="00B30402"/>
    <w:rsid w:val="00B30CA4"/>
    <w:rsid w:val="00B30CAF"/>
    <w:rsid w:val="00B31738"/>
    <w:rsid w:val="00B31B65"/>
    <w:rsid w:val="00B34DE4"/>
    <w:rsid w:val="00B37E5F"/>
    <w:rsid w:val="00B40ACF"/>
    <w:rsid w:val="00B4127A"/>
    <w:rsid w:val="00B4505F"/>
    <w:rsid w:val="00B454ED"/>
    <w:rsid w:val="00B46D1C"/>
    <w:rsid w:val="00B545FD"/>
    <w:rsid w:val="00B54B4B"/>
    <w:rsid w:val="00B5503C"/>
    <w:rsid w:val="00B60B0B"/>
    <w:rsid w:val="00B6200D"/>
    <w:rsid w:val="00B6273B"/>
    <w:rsid w:val="00B70C7A"/>
    <w:rsid w:val="00B71118"/>
    <w:rsid w:val="00B747B6"/>
    <w:rsid w:val="00B75A43"/>
    <w:rsid w:val="00B76244"/>
    <w:rsid w:val="00B7695B"/>
    <w:rsid w:val="00B769BF"/>
    <w:rsid w:val="00B80CDA"/>
    <w:rsid w:val="00B840DB"/>
    <w:rsid w:val="00B85489"/>
    <w:rsid w:val="00B85FD3"/>
    <w:rsid w:val="00B863DA"/>
    <w:rsid w:val="00B90179"/>
    <w:rsid w:val="00B90BF7"/>
    <w:rsid w:val="00BA49E7"/>
    <w:rsid w:val="00BA7C30"/>
    <w:rsid w:val="00BB157A"/>
    <w:rsid w:val="00BB3576"/>
    <w:rsid w:val="00BB3ED4"/>
    <w:rsid w:val="00BB54EA"/>
    <w:rsid w:val="00BB77B2"/>
    <w:rsid w:val="00BC19A8"/>
    <w:rsid w:val="00BC765A"/>
    <w:rsid w:val="00BD09AD"/>
    <w:rsid w:val="00BD337A"/>
    <w:rsid w:val="00BD4243"/>
    <w:rsid w:val="00BD46DF"/>
    <w:rsid w:val="00BD49B3"/>
    <w:rsid w:val="00BD62F7"/>
    <w:rsid w:val="00BD6318"/>
    <w:rsid w:val="00BD6723"/>
    <w:rsid w:val="00BD698F"/>
    <w:rsid w:val="00BD6A6A"/>
    <w:rsid w:val="00BE16E4"/>
    <w:rsid w:val="00BE28DD"/>
    <w:rsid w:val="00BE4ACE"/>
    <w:rsid w:val="00BE5715"/>
    <w:rsid w:val="00BE63CE"/>
    <w:rsid w:val="00BE780F"/>
    <w:rsid w:val="00BF034F"/>
    <w:rsid w:val="00BF1C17"/>
    <w:rsid w:val="00BF28FE"/>
    <w:rsid w:val="00BF50A7"/>
    <w:rsid w:val="00C006F6"/>
    <w:rsid w:val="00C013DA"/>
    <w:rsid w:val="00C02ED9"/>
    <w:rsid w:val="00C047AE"/>
    <w:rsid w:val="00C06CEF"/>
    <w:rsid w:val="00C06F00"/>
    <w:rsid w:val="00C100A3"/>
    <w:rsid w:val="00C15B21"/>
    <w:rsid w:val="00C17B49"/>
    <w:rsid w:val="00C26631"/>
    <w:rsid w:val="00C33763"/>
    <w:rsid w:val="00C33C35"/>
    <w:rsid w:val="00C363D8"/>
    <w:rsid w:val="00C4572F"/>
    <w:rsid w:val="00C47374"/>
    <w:rsid w:val="00C517E5"/>
    <w:rsid w:val="00C54C15"/>
    <w:rsid w:val="00C56CF2"/>
    <w:rsid w:val="00C62C54"/>
    <w:rsid w:val="00C6407F"/>
    <w:rsid w:val="00C6751B"/>
    <w:rsid w:val="00C7181B"/>
    <w:rsid w:val="00C807D7"/>
    <w:rsid w:val="00C8243F"/>
    <w:rsid w:val="00C85919"/>
    <w:rsid w:val="00C91407"/>
    <w:rsid w:val="00C91CA8"/>
    <w:rsid w:val="00C91EF5"/>
    <w:rsid w:val="00C9704E"/>
    <w:rsid w:val="00CA099E"/>
    <w:rsid w:val="00CA0B50"/>
    <w:rsid w:val="00CA2315"/>
    <w:rsid w:val="00CA5B3D"/>
    <w:rsid w:val="00CA75A7"/>
    <w:rsid w:val="00CB25A8"/>
    <w:rsid w:val="00CB4432"/>
    <w:rsid w:val="00CB4958"/>
    <w:rsid w:val="00CB5078"/>
    <w:rsid w:val="00CC2B86"/>
    <w:rsid w:val="00CC455B"/>
    <w:rsid w:val="00CC5746"/>
    <w:rsid w:val="00CD0B67"/>
    <w:rsid w:val="00CD4A35"/>
    <w:rsid w:val="00CD683A"/>
    <w:rsid w:val="00CE02CD"/>
    <w:rsid w:val="00CE2908"/>
    <w:rsid w:val="00CE5A11"/>
    <w:rsid w:val="00CF094D"/>
    <w:rsid w:val="00CF2ACA"/>
    <w:rsid w:val="00CF679F"/>
    <w:rsid w:val="00D01A39"/>
    <w:rsid w:val="00D0226C"/>
    <w:rsid w:val="00D04E19"/>
    <w:rsid w:val="00D055CC"/>
    <w:rsid w:val="00D11321"/>
    <w:rsid w:val="00D11DD7"/>
    <w:rsid w:val="00D14911"/>
    <w:rsid w:val="00D220F9"/>
    <w:rsid w:val="00D22167"/>
    <w:rsid w:val="00D22CBA"/>
    <w:rsid w:val="00D244ED"/>
    <w:rsid w:val="00D26C69"/>
    <w:rsid w:val="00D26DA8"/>
    <w:rsid w:val="00D319AE"/>
    <w:rsid w:val="00D33D98"/>
    <w:rsid w:val="00D35FB2"/>
    <w:rsid w:val="00D42879"/>
    <w:rsid w:val="00D453C5"/>
    <w:rsid w:val="00D51898"/>
    <w:rsid w:val="00D52194"/>
    <w:rsid w:val="00D63F64"/>
    <w:rsid w:val="00D702BE"/>
    <w:rsid w:val="00D72C43"/>
    <w:rsid w:val="00D73DF8"/>
    <w:rsid w:val="00D776F0"/>
    <w:rsid w:val="00D77DA5"/>
    <w:rsid w:val="00D805DB"/>
    <w:rsid w:val="00D855A2"/>
    <w:rsid w:val="00D86F83"/>
    <w:rsid w:val="00DA1BC0"/>
    <w:rsid w:val="00DA227F"/>
    <w:rsid w:val="00DA261B"/>
    <w:rsid w:val="00DA2DE8"/>
    <w:rsid w:val="00DA75EF"/>
    <w:rsid w:val="00DB2827"/>
    <w:rsid w:val="00DB7B40"/>
    <w:rsid w:val="00DC49C3"/>
    <w:rsid w:val="00DC6087"/>
    <w:rsid w:val="00DC66B2"/>
    <w:rsid w:val="00DC67D4"/>
    <w:rsid w:val="00DD5C27"/>
    <w:rsid w:val="00DD79F9"/>
    <w:rsid w:val="00DD7BC5"/>
    <w:rsid w:val="00DE01D7"/>
    <w:rsid w:val="00DE2B15"/>
    <w:rsid w:val="00DE6FF8"/>
    <w:rsid w:val="00DF06E4"/>
    <w:rsid w:val="00DF5153"/>
    <w:rsid w:val="00DF62AF"/>
    <w:rsid w:val="00E02272"/>
    <w:rsid w:val="00E0322D"/>
    <w:rsid w:val="00E033A5"/>
    <w:rsid w:val="00E03D84"/>
    <w:rsid w:val="00E0728A"/>
    <w:rsid w:val="00E1061C"/>
    <w:rsid w:val="00E13AB4"/>
    <w:rsid w:val="00E1463A"/>
    <w:rsid w:val="00E27E58"/>
    <w:rsid w:val="00E321D8"/>
    <w:rsid w:val="00E322CC"/>
    <w:rsid w:val="00E343F1"/>
    <w:rsid w:val="00E34DE6"/>
    <w:rsid w:val="00E43AAE"/>
    <w:rsid w:val="00E47EBC"/>
    <w:rsid w:val="00E54121"/>
    <w:rsid w:val="00E55E16"/>
    <w:rsid w:val="00E56EE7"/>
    <w:rsid w:val="00E60681"/>
    <w:rsid w:val="00E617DE"/>
    <w:rsid w:val="00E63291"/>
    <w:rsid w:val="00E662AB"/>
    <w:rsid w:val="00E66983"/>
    <w:rsid w:val="00E748A1"/>
    <w:rsid w:val="00E7581C"/>
    <w:rsid w:val="00E75DC9"/>
    <w:rsid w:val="00E76297"/>
    <w:rsid w:val="00E76D4E"/>
    <w:rsid w:val="00E81562"/>
    <w:rsid w:val="00E8206D"/>
    <w:rsid w:val="00E84698"/>
    <w:rsid w:val="00E91EC0"/>
    <w:rsid w:val="00E96608"/>
    <w:rsid w:val="00EA1853"/>
    <w:rsid w:val="00EA3E32"/>
    <w:rsid w:val="00EA5DE0"/>
    <w:rsid w:val="00EA67B7"/>
    <w:rsid w:val="00EB54FE"/>
    <w:rsid w:val="00EB7888"/>
    <w:rsid w:val="00EB7F39"/>
    <w:rsid w:val="00EC088B"/>
    <w:rsid w:val="00EC1B09"/>
    <w:rsid w:val="00EC1E98"/>
    <w:rsid w:val="00EC25C3"/>
    <w:rsid w:val="00EC2B59"/>
    <w:rsid w:val="00EC4A30"/>
    <w:rsid w:val="00EC62FB"/>
    <w:rsid w:val="00EC7AE0"/>
    <w:rsid w:val="00EC7FBE"/>
    <w:rsid w:val="00ED131A"/>
    <w:rsid w:val="00ED4C59"/>
    <w:rsid w:val="00ED4CEA"/>
    <w:rsid w:val="00ED586E"/>
    <w:rsid w:val="00ED6A4A"/>
    <w:rsid w:val="00EF0F1E"/>
    <w:rsid w:val="00EF1547"/>
    <w:rsid w:val="00EF32E8"/>
    <w:rsid w:val="00EF5AD9"/>
    <w:rsid w:val="00EF605B"/>
    <w:rsid w:val="00EF62D5"/>
    <w:rsid w:val="00EF6528"/>
    <w:rsid w:val="00EF6EE7"/>
    <w:rsid w:val="00F01661"/>
    <w:rsid w:val="00F0690D"/>
    <w:rsid w:val="00F07CC5"/>
    <w:rsid w:val="00F114B1"/>
    <w:rsid w:val="00F12388"/>
    <w:rsid w:val="00F17891"/>
    <w:rsid w:val="00F241D8"/>
    <w:rsid w:val="00F242A3"/>
    <w:rsid w:val="00F24D27"/>
    <w:rsid w:val="00F26392"/>
    <w:rsid w:val="00F264EB"/>
    <w:rsid w:val="00F26B1E"/>
    <w:rsid w:val="00F326CA"/>
    <w:rsid w:val="00F331D7"/>
    <w:rsid w:val="00F33393"/>
    <w:rsid w:val="00F3385A"/>
    <w:rsid w:val="00F37029"/>
    <w:rsid w:val="00F371E4"/>
    <w:rsid w:val="00F4097D"/>
    <w:rsid w:val="00F43023"/>
    <w:rsid w:val="00F43AC3"/>
    <w:rsid w:val="00F53044"/>
    <w:rsid w:val="00F55201"/>
    <w:rsid w:val="00F555D1"/>
    <w:rsid w:val="00F57810"/>
    <w:rsid w:val="00F60ACF"/>
    <w:rsid w:val="00F612E3"/>
    <w:rsid w:val="00F67A41"/>
    <w:rsid w:val="00F707F9"/>
    <w:rsid w:val="00F72BC4"/>
    <w:rsid w:val="00F73A06"/>
    <w:rsid w:val="00F73B52"/>
    <w:rsid w:val="00F74568"/>
    <w:rsid w:val="00F758C6"/>
    <w:rsid w:val="00F7744E"/>
    <w:rsid w:val="00F80128"/>
    <w:rsid w:val="00F817A9"/>
    <w:rsid w:val="00F81B0C"/>
    <w:rsid w:val="00F829EB"/>
    <w:rsid w:val="00F82A48"/>
    <w:rsid w:val="00F85161"/>
    <w:rsid w:val="00F85B81"/>
    <w:rsid w:val="00F9286F"/>
    <w:rsid w:val="00F94722"/>
    <w:rsid w:val="00F94E08"/>
    <w:rsid w:val="00F95298"/>
    <w:rsid w:val="00FA33BC"/>
    <w:rsid w:val="00FA436D"/>
    <w:rsid w:val="00FA4E4C"/>
    <w:rsid w:val="00FA50B7"/>
    <w:rsid w:val="00FA51D1"/>
    <w:rsid w:val="00FA6A4D"/>
    <w:rsid w:val="00FB27AF"/>
    <w:rsid w:val="00FB2B96"/>
    <w:rsid w:val="00FB4774"/>
    <w:rsid w:val="00FB63F7"/>
    <w:rsid w:val="00FB64A5"/>
    <w:rsid w:val="00FB6A2C"/>
    <w:rsid w:val="00FC2093"/>
    <w:rsid w:val="00FD1563"/>
    <w:rsid w:val="00FD6293"/>
    <w:rsid w:val="00FE0D88"/>
    <w:rsid w:val="00FE0FD3"/>
    <w:rsid w:val="00FE6840"/>
    <w:rsid w:val="00FF0BF7"/>
    <w:rsid w:val="00FF148C"/>
    <w:rsid w:val="00FF5F01"/>
    <w:rsid w:val="00FF6D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4785A"/>
  <w15:chartTrackingRefBased/>
  <w15:docId w15:val="{D32CF4B3-35D1-4425-94DE-363CC61A0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7339"/>
    <w:rPr>
      <w:rFonts w:ascii="Times New Roman" w:hAnsi="Times New Roman"/>
      <w:sz w:val="24"/>
      <w:szCs w:val="22"/>
      <w:lang w:eastAsia="en-US"/>
    </w:rPr>
  </w:style>
  <w:style w:type="paragraph" w:styleId="Heading1">
    <w:name w:val="heading 1"/>
    <w:aliases w:val="Heading 1m"/>
    <w:basedOn w:val="Normal"/>
    <w:next w:val="Normal"/>
    <w:link w:val="Heading1Char"/>
    <w:qFormat/>
    <w:rsid w:val="004D59CB"/>
    <w:pPr>
      <w:keepNext/>
      <w:spacing w:after="60" w:line="360" w:lineRule="auto"/>
      <w:ind w:left="255" w:hanging="255"/>
      <w:outlineLvl w:val="0"/>
    </w:pPr>
    <w:rPr>
      <w:rFonts w:eastAsia="Times New Roman" w:cs="Times New Roman"/>
      <w:b/>
      <w:bCs/>
      <w:caps/>
      <w:color w:val="0000CC"/>
      <w:kern w:val="32"/>
      <w:sz w:val="30"/>
      <w:szCs w:val="32"/>
      <w:lang w:val="el-GR"/>
    </w:rPr>
  </w:style>
  <w:style w:type="paragraph" w:styleId="Heading2">
    <w:name w:val="heading 2"/>
    <w:basedOn w:val="Normal"/>
    <w:next w:val="Normal"/>
    <w:link w:val="Heading2Char"/>
    <w:uiPriority w:val="9"/>
    <w:qFormat/>
    <w:rsid w:val="005B49E6"/>
    <w:pPr>
      <w:keepNext/>
      <w:spacing w:before="400" w:after="100"/>
      <w:ind w:left="425" w:hanging="425"/>
      <w:outlineLvl w:val="1"/>
    </w:pPr>
    <w:rPr>
      <w:rFonts w:eastAsia="Times New Roman" w:cs="Times New Roman"/>
      <w:b/>
      <w:bCs/>
      <w:iCs/>
      <w:sz w:val="28"/>
      <w:szCs w:val="28"/>
    </w:rPr>
  </w:style>
  <w:style w:type="paragraph" w:styleId="Heading3">
    <w:name w:val="heading 3"/>
    <w:aliases w:val="Heading 3m"/>
    <w:basedOn w:val="Normal"/>
    <w:next w:val="Normal"/>
    <w:link w:val="Heading3Char"/>
    <w:qFormat/>
    <w:rsid w:val="00066054"/>
    <w:pPr>
      <w:spacing w:before="300" w:after="100"/>
      <w:ind w:left="720" w:hanging="720"/>
      <w:outlineLvl w:val="2"/>
    </w:pPr>
    <w:rPr>
      <w:rFonts w:eastAsia="Times New Roman" w:cs="Times New Roman"/>
      <w:b/>
      <w:sz w:val="26"/>
      <w:szCs w:val="26"/>
    </w:rPr>
  </w:style>
  <w:style w:type="paragraph" w:styleId="Heading4">
    <w:name w:val="heading 4"/>
    <w:basedOn w:val="Normal"/>
    <w:next w:val="Normal"/>
    <w:link w:val="Heading4Char"/>
    <w:uiPriority w:val="9"/>
    <w:unhideWhenUsed/>
    <w:qFormat/>
    <w:rsid w:val="00066054"/>
    <w:pPr>
      <w:keepNext/>
      <w:keepLines/>
      <w:spacing w:before="300" w:after="100"/>
      <w:outlineLvl w:val="3"/>
    </w:pPr>
    <w:rPr>
      <w:rFonts w:eastAsia="Cambria" w:cs="Times New Roman"/>
      <w:b/>
      <w:iCs/>
    </w:rPr>
  </w:style>
  <w:style w:type="paragraph" w:styleId="Heading5">
    <w:name w:val="heading 5"/>
    <w:basedOn w:val="Normal"/>
    <w:next w:val="Normal"/>
    <w:link w:val="Heading5Char"/>
    <w:uiPriority w:val="9"/>
    <w:unhideWhenUsed/>
    <w:qFormat/>
    <w:rsid w:val="00A91E6D"/>
    <w:pPr>
      <w:keepNext/>
      <w:keepLines/>
      <w:spacing w:before="320" w:after="100"/>
      <w:outlineLvl w:val="4"/>
    </w:pPr>
    <w:rPr>
      <w:rFonts w:eastAsia="Cambria" w:cs="Times New Roman"/>
      <w:b/>
    </w:rPr>
  </w:style>
  <w:style w:type="paragraph" w:styleId="Heading6">
    <w:name w:val="heading 6"/>
    <w:basedOn w:val="Normal"/>
    <w:next w:val="Normal"/>
    <w:link w:val="Heading6Char"/>
    <w:uiPriority w:val="9"/>
    <w:unhideWhenUsed/>
    <w:qFormat/>
    <w:rsid w:val="0052714A"/>
    <w:pPr>
      <w:keepNext/>
      <w:keepLines/>
      <w:spacing w:before="240" w:after="60"/>
      <w:outlineLvl w:val="5"/>
    </w:pPr>
    <w:rPr>
      <w:rFonts w:eastAsia="Cambria"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m Char"/>
    <w:link w:val="Heading1"/>
    <w:rsid w:val="004D59CB"/>
    <w:rPr>
      <w:rFonts w:ascii="Times New Roman" w:eastAsia="Times New Roman" w:hAnsi="Times New Roman" w:cs="Times New Roman"/>
      <w:b/>
      <w:bCs/>
      <w:caps/>
      <w:color w:val="0000CC"/>
      <w:kern w:val="32"/>
      <w:sz w:val="30"/>
      <w:szCs w:val="32"/>
      <w:lang w:val="el-GR" w:eastAsia="en-US"/>
    </w:rPr>
  </w:style>
  <w:style w:type="character" w:customStyle="1" w:styleId="Heading2Char">
    <w:name w:val="Heading 2 Char"/>
    <w:link w:val="Heading2"/>
    <w:uiPriority w:val="9"/>
    <w:rsid w:val="005B49E6"/>
    <w:rPr>
      <w:rFonts w:ascii="Times New Roman" w:eastAsia="Times New Roman" w:hAnsi="Times New Roman" w:cs="Times New Roman"/>
      <w:b/>
      <w:bCs/>
      <w:iCs/>
      <w:sz w:val="28"/>
      <w:szCs w:val="28"/>
    </w:rPr>
  </w:style>
  <w:style w:type="character" w:customStyle="1" w:styleId="Heading3Char">
    <w:name w:val="Heading 3 Char"/>
    <w:aliases w:val="Heading 3m Char"/>
    <w:link w:val="Heading3"/>
    <w:rsid w:val="00066054"/>
    <w:rPr>
      <w:rFonts w:ascii="Times New Roman" w:eastAsia="Times New Roman" w:hAnsi="Times New Roman" w:cs="Times New Roman"/>
      <w:b/>
      <w:sz w:val="26"/>
      <w:szCs w:val="26"/>
    </w:rPr>
  </w:style>
  <w:style w:type="character" w:customStyle="1" w:styleId="Heading4Char">
    <w:name w:val="Heading 4 Char"/>
    <w:link w:val="Heading4"/>
    <w:uiPriority w:val="9"/>
    <w:rsid w:val="00066054"/>
    <w:rPr>
      <w:rFonts w:ascii="Times New Roman" w:eastAsia="Cambria" w:hAnsi="Times New Roman" w:cs="Times New Roman"/>
      <w:b/>
      <w:iCs/>
      <w:sz w:val="24"/>
    </w:rPr>
  </w:style>
  <w:style w:type="character" w:customStyle="1" w:styleId="Heading5Char">
    <w:name w:val="Heading 5 Char"/>
    <w:link w:val="Heading5"/>
    <w:uiPriority w:val="9"/>
    <w:rsid w:val="00A91E6D"/>
    <w:rPr>
      <w:rFonts w:ascii="Times New Roman" w:eastAsia="Cambria" w:hAnsi="Times New Roman" w:cs="Times New Roman"/>
      <w:b/>
      <w:sz w:val="24"/>
    </w:rPr>
  </w:style>
  <w:style w:type="character" w:customStyle="1" w:styleId="Heading6Char">
    <w:name w:val="Heading 6 Char"/>
    <w:link w:val="Heading6"/>
    <w:uiPriority w:val="9"/>
    <w:rsid w:val="0052714A"/>
    <w:rPr>
      <w:rFonts w:ascii="Times New Roman" w:eastAsia="Cambria" w:hAnsi="Times New Roman" w:cs="Times New Roman"/>
      <w:b/>
      <w:bCs/>
      <w:sz w:val="24"/>
    </w:rPr>
  </w:style>
  <w:style w:type="paragraph" w:styleId="ListParagraph">
    <w:name w:val="List Paragraph"/>
    <w:basedOn w:val="Normal"/>
    <w:uiPriority w:val="34"/>
    <w:qFormat/>
    <w:rsid w:val="00FA50B7"/>
    <w:pPr>
      <w:ind w:left="720"/>
      <w:contextualSpacing/>
    </w:pPr>
  </w:style>
  <w:style w:type="paragraph" w:styleId="FootnoteText">
    <w:name w:val="footnote text"/>
    <w:basedOn w:val="Normal"/>
    <w:link w:val="FootnoteTextChar"/>
    <w:uiPriority w:val="99"/>
    <w:semiHidden/>
    <w:unhideWhenUsed/>
    <w:rsid w:val="00844263"/>
    <w:rPr>
      <w:sz w:val="20"/>
      <w:szCs w:val="20"/>
    </w:rPr>
  </w:style>
  <w:style w:type="character" w:customStyle="1" w:styleId="FootnoteTextChar">
    <w:name w:val="Footnote Text Char"/>
    <w:link w:val="FootnoteText"/>
    <w:uiPriority w:val="99"/>
    <w:semiHidden/>
    <w:rsid w:val="00844263"/>
    <w:rPr>
      <w:sz w:val="20"/>
      <w:szCs w:val="20"/>
    </w:rPr>
  </w:style>
  <w:style w:type="character" w:styleId="FootnoteReference">
    <w:name w:val="footnote reference"/>
    <w:uiPriority w:val="99"/>
    <w:semiHidden/>
    <w:unhideWhenUsed/>
    <w:rsid w:val="00844263"/>
    <w:rPr>
      <w:vertAlign w:val="superscript"/>
    </w:rPr>
  </w:style>
  <w:style w:type="table" w:styleId="TableGrid">
    <w:name w:val="Table Grid"/>
    <w:basedOn w:val="TableNormal"/>
    <w:rsid w:val="00C807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47044D"/>
    <w:rPr>
      <w:color w:val="0000FF"/>
      <w:u w:val="single"/>
    </w:rPr>
  </w:style>
  <w:style w:type="character" w:styleId="UnresolvedMention">
    <w:name w:val="Unresolved Mention"/>
    <w:uiPriority w:val="99"/>
    <w:semiHidden/>
    <w:unhideWhenUsed/>
    <w:rsid w:val="0047044D"/>
    <w:rPr>
      <w:color w:val="605E5C"/>
      <w:shd w:val="clear" w:color="auto" w:fill="E1DFDD"/>
    </w:rPr>
  </w:style>
  <w:style w:type="paragraph" w:styleId="BodyText">
    <w:name w:val="Body Text"/>
    <w:aliases w:val="Body Text 1"/>
    <w:basedOn w:val="Normal"/>
    <w:link w:val="BodyTextChar"/>
    <w:unhideWhenUsed/>
    <w:qFormat/>
    <w:rsid w:val="007118C0"/>
    <w:rPr>
      <w:rFonts w:cs="Times New Roman"/>
      <w:szCs w:val="24"/>
    </w:rPr>
  </w:style>
  <w:style w:type="character" w:customStyle="1" w:styleId="BodyTextChar">
    <w:name w:val="Body Text Char"/>
    <w:aliases w:val="Body Text 1 Char"/>
    <w:link w:val="BodyText"/>
    <w:rsid w:val="007118C0"/>
    <w:rPr>
      <w:rFonts w:ascii="Times New Roman" w:eastAsia="Calibri" w:hAnsi="Times New Roman" w:cs="Times New Roman"/>
      <w:sz w:val="24"/>
      <w:szCs w:val="24"/>
    </w:rPr>
  </w:style>
  <w:style w:type="paragraph" w:customStyle="1" w:styleId="Paragraph">
    <w:name w:val="Paragraph"/>
    <w:basedOn w:val="BodyTextFirstIndent"/>
    <w:qFormat/>
    <w:rsid w:val="007D0135"/>
    <w:pPr>
      <w:spacing w:after="0" w:line="240" w:lineRule="auto"/>
      <w:ind w:firstLine="425"/>
    </w:pPr>
    <w:rPr>
      <w:rFonts w:ascii="Times New Roman" w:eastAsia="Times New Roman" w:hAnsi="Times New Roman" w:cs="Times New Roman"/>
      <w:sz w:val="24"/>
      <w:szCs w:val="24"/>
    </w:rPr>
  </w:style>
  <w:style w:type="paragraph" w:styleId="BodyTextFirstIndent">
    <w:name w:val="Body Text First Indent"/>
    <w:basedOn w:val="BodyText"/>
    <w:link w:val="BodyTextFirstIndentChar"/>
    <w:uiPriority w:val="99"/>
    <w:semiHidden/>
    <w:unhideWhenUsed/>
    <w:rsid w:val="00213018"/>
    <w:pPr>
      <w:spacing w:after="160" w:line="259" w:lineRule="auto"/>
      <w:ind w:firstLine="360"/>
    </w:pPr>
    <w:rPr>
      <w:rFonts w:ascii="Calibri" w:hAnsi="Calibri" w:cs="Arial"/>
      <w:sz w:val="22"/>
      <w:szCs w:val="22"/>
    </w:rPr>
  </w:style>
  <w:style w:type="character" w:customStyle="1" w:styleId="BodyTextFirstIndentChar">
    <w:name w:val="Body Text First Indent Char"/>
    <w:link w:val="BodyTextFirstIndent"/>
    <w:uiPriority w:val="99"/>
    <w:semiHidden/>
    <w:rsid w:val="00213018"/>
    <w:rPr>
      <w:rFonts w:ascii="Times New Roman" w:eastAsia="Calibri" w:hAnsi="Times New Roman" w:cs="Times New Roman"/>
      <w:sz w:val="24"/>
      <w:szCs w:val="24"/>
    </w:rPr>
  </w:style>
  <w:style w:type="paragraph" w:styleId="Caption">
    <w:name w:val="caption"/>
    <w:aliases w:val="Figure caption"/>
    <w:basedOn w:val="Normal"/>
    <w:next w:val="Normal"/>
    <w:qFormat/>
    <w:rsid w:val="00035316"/>
    <w:pPr>
      <w:spacing w:before="100" w:after="400"/>
    </w:pPr>
    <w:rPr>
      <w:rFonts w:eastAsia="Times New Roman" w:cs="Times New Roman"/>
      <w:bCs/>
      <w:i/>
      <w:sz w:val="20"/>
      <w:szCs w:val="20"/>
    </w:rPr>
  </w:style>
  <w:style w:type="paragraph" w:styleId="Header">
    <w:name w:val="header"/>
    <w:basedOn w:val="Normal"/>
    <w:link w:val="HeaderChar"/>
    <w:uiPriority w:val="99"/>
    <w:unhideWhenUsed/>
    <w:rsid w:val="00EC2B59"/>
    <w:pPr>
      <w:tabs>
        <w:tab w:val="center" w:pos="4153"/>
        <w:tab w:val="right" w:pos="8306"/>
      </w:tabs>
    </w:pPr>
  </w:style>
  <w:style w:type="character" w:customStyle="1" w:styleId="HeaderChar">
    <w:name w:val="Header Char"/>
    <w:basedOn w:val="DefaultParagraphFont"/>
    <w:link w:val="Header"/>
    <w:uiPriority w:val="99"/>
    <w:rsid w:val="00EC2B59"/>
  </w:style>
  <w:style w:type="paragraph" w:styleId="Footer">
    <w:name w:val="footer"/>
    <w:basedOn w:val="Normal"/>
    <w:link w:val="FooterChar"/>
    <w:uiPriority w:val="99"/>
    <w:unhideWhenUsed/>
    <w:rsid w:val="00EC2B59"/>
    <w:pPr>
      <w:tabs>
        <w:tab w:val="center" w:pos="4153"/>
        <w:tab w:val="right" w:pos="8306"/>
      </w:tabs>
    </w:pPr>
  </w:style>
  <w:style w:type="character" w:customStyle="1" w:styleId="FooterChar">
    <w:name w:val="Footer Char"/>
    <w:basedOn w:val="DefaultParagraphFont"/>
    <w:link w:val="Footer"/>
    <w:uiPriority w:val="99"/>
    <w:rsid w:val="00EC2B59"/>
  </w:style>
  <w:style w:type="paragraph" w:styleId="BalloonText">
    <w:name w:val="Balloon Text"/>
    <w:basedOn w:val="Normal"/>
    <w:link w:val="BalloonTextChar"/>
    <w:uiPriority w:val="99"/>
    <w:semiHidden/>
    <w:unhideWhenUsed/>
    <w:rsid w:val="00A61ABC"/>
    <w:rPr>
      <w:rFonts w:ascii="Segoe UI" w:hAnsi="Segoe UI" w:cs="Segoe UI"/>
      <w:sz w:val="18"/>
      <w:szCs w:val="18"/>
    </w:rPr>
  </w:style>
  <w:style w:type="character" w:customStyle="1" w:styleId="BalloonTextChar">
    <w:name w:val="Balloon Text Char"/>
    <w:link w:val="BalloonText"/>
    <w:uiPriority w:val="99"/>
    <w:semiHidden/>
    <w:rsid w:val="00A61ABC"/>
    <w:rPr>
      <w:rFonts w:ascii="Segoe UI" w:hAnsi="Segoe UI" w:cs="Segoe UI"/>
      <w:sz w:val="18"/>
      <w:szCs w:val="18"/>
    </w:rPr>
  </w:style>
  <w:style w:type="paragraph" w:customStyle="1" w:styleId="References">
    <w:name w:val="References"/>
    <w:basedOn w:val="Normal"/>
    <w:link w:val="ReferencesChar"/>
    <w:qFormat/>
    <w:rsid w:val="005B3765"/>
    <w:pPr>
      <w:ind w:left="425" w:hanging="425"/>
    </w:pPr>
  </w:style>
  <w:style w:type="character" w:customStyle="1" w:styleId="ReferencesChar">
    <w:name w:val="References Char"/>
    <w:link w:val="References"/>
    <w:rsid w:val="005B3765"/>
    <w:rPr>
      <w:rFonts w:ascii="Times New Roman" w:hAnsi="Times New Roman"/>
    </w:rPr>
  </w:style>
  <w:style w:type="character" w:styleId="CommentReference">
    <w:name w:val="annotation reference"/>
    <w:uiPriority w:val="99"/>
    <w:semiHidden/>
    <w:unhideWhenUsed/>
    <w:rsid w:val="00BD46DF"/>
    <w:rPr>
      <w:sz w:val="16"/>
      <w:szCs w:val="16"/>
    </w:rPr>
  </w:style>
  <w:style w:type="paragraph" w:styleId="CommentText">
    <w:name w:val="annotation text"/>
    <w:basedOn w:val="Normal"/>
    <w:link w:val="CommentTextChar"/>
    <w:uiPriority w:val="99"/>
    <w:semiHidden/>
    <w:unhideWhenUsed/>
    <w:rsid w:val="00BD46DF"/>
    <w:rPr>
      <w:sz w:val="20"/>
      <w:szCs w:val="20"/>
    </w:rPr>
  </w:style>
  <w:style w:type="character" w:customStyle="1" w:styleId="CommentTextChar">
    <w:name w:val="Comment Text Char"/>
    <w:link w:val="CommentText"/>
    <w:uiPriority w:val="99"/>
    <w:semiHidden/>
    <w:rsid w:val="00BD46DF"/>
    <w:rPr>
      <w:sz w:val="20"/>
      <w:szCs w:val="20"/>
    </w:rPr>
  </w:style>
  <w:style w:type="paragraph" w:styleId="CommentSubject">
    <w:name w:val="annotation subject"/>
    <w:basedOn w:val="CommentText"/>
    <w:next w:val="CommentText"/>
    <w:link w:val="CommentSubjectChar"/>
    <w:uiPriority w:val="99"/>
    <w:semiHidden/>
    <w:unhideWhenUsed/>
    <w:rsid w:val="00BD46DF"/>
    <w:rPr>
      <w:b/>
      <w:bCs/>
    </w:rPr>
  </w:style>
  <w:style w:type="character" w:customStyle="1" w:styleId="CommentSubjectChar">
    <w:name w:val="Comment Subject Char"/>
    <w:link w:val="CommentSubject"/>
    <w:uiPriority w:val="99"/>
    <w:semiHidden/>
    <w:rsid w:val="00BD46DF"/>
    <w:rPr>
      <w:b/>
      <w:bCs/>
      <w:sz w:val="20"/>
      <w:szCs w:val="20"/>
    </w:rPr>
  </w:style>
  <w:style w:type="paragraph" w:customStyle="1" w:styleId="Default">
    <w:name w:val="Default"/>
    <w:link w:val="DefaultChar"/>
    <w:rsid w:val="00B545FD"/>
    <w:pPr>
      <w:widowControl w:val="0"/>
      <w:autoSpaceDE w:val="0"/>
      <w:autoSpaceDN w:val="0"/>
      <w:adjustRightInd w:val="0"/>
    </w:pPr>
    <w:rPr>
      <w:rFonts w:ascii="Times New Roman" w:hAnsi="Times New Roman" w:cs="Times New Roman"/>
      <w:color w:val="000000"/>
      <w:sz w:val="24"/>
      <w:szCs w:val="24"/>
    </w:rPr>
  </w:style>
  <w:style w:type="character" w:customStyle="1" w:styleId="DefaultChar">
    <w:name w:val="Default Char"/>
    <w:link w:val="Default"/>
    <w:rsid w:val="00C6751B"/>
    <w:rPr>
      <w:rFonts w:ascii="Times New Roman" w:eastAsia="Calibri" w:hAnsi="Times New Roman" w:cs="Times New Roman"/>
      <w:color w:val="000000"/>
      <w:sz w:val="24"/>
      <w:szCs w:val="24"/>
      <w:lang w:eastAsia="en-GB"/>
    </w:rPr>
  </w:style>
  <w:style w:type="paragraph" w:customStyle="1" w:styleId="CM1">
    <w:name w:val="CM1"/>
    <w:basedOn w:val="Default"/>
    <w:next w:val="Default"/>
    <w:link w:val="CM1Char"/>
    <w:uiPriority w:val="99"/>
    <w:rsid w:val="00B545FD"/>
    <w:rPr>
      <w:color w:val="auto"/>
    </w:rPr>
  </w:style>
  <w:style w:type="character" w:customStyle="1" w:styleId="CM1Char">
    <w:name w:val="CM1 Char"/>
    <w:link w:val="CM1"/>
    <w:uiPriority w:val="99"/>
    <w:rsid w:val="00C6751B"/>
    <w:rPr>
      <w:rFonts w:ascii="Times New Roman" w:eastAsia="Calibri" w:hAnsi="Times New Roman" w:cs="Times New Roman"/>
      <w:color w:val="000000"/>
      <w:sz w:val="24"/>
      <w:szCs w:val="24"/>
      <w:lang w:eastAsia="en-GB"/>
    </w:rPr>
  </w:style>
  <w:style w:type="paragraph" w:customStyle="1" w:styleId="CM8">
    <w:name w:val="CM8"/>
    <w:basedOn w:val="Default"/>
    <w:next w:val="Default"/>
    <w:uiPriority w:val="99"/>
    <w:rsid w:val="00035316"/>
    <w:rPr>
      <w:color w:val="auto"/>
    </w:rPr>
  </w:style>
  <w:style w:type="paragraph" w:customStyle="1" w:styleId="CM9">
    <w:name w:val="CM9"/>
    <w:basedOn w:val="Default"/>
    <w:next w:val="Default"/>
    <w:uiPriority w:val="99"/>
    <w:rsid w:val="00035316"/>
    <w:rPr>
      <w:color w:val="auto"/>
    </w:rPr>
  </w:style>
  <w:style w:type="paragraph" w:customStyle="1" w:styleId="CM2">
    <w:name w:val="CM2"/>
    <w:basedOn w:val="Default"/>
    <w:next w:val="Default"/>
    <w:uiPriority w:val="99"/>
    <w:rsid w:val="00035316"/>
    <w:pPr>
      <w:spacing w:line="220" w:lineRule="atLeast"/>
    </w:pPr>
    <w:rPr>
      <w:color w:val="auto"/>
    </w:rPr>
  </w:style>
  <w:style w:type="paragraph" w:customStyle="1" w:styleId="CM10">
    <w:name w:val="CM10"/>
    <w:basedOn w:val="Default"/>
    <w:next w:val="Default"/>
    <w:uiPriority w:val="99"/>
    <w:rsid w:val="00035316"/>
    <w:rPr>
      <w:color w:val="auto"/>
    </w:rPr>
  </w:style>
  <w:style w:type="paragraph" w:customStyle="1" w:styleId="CM11">
    <w:name w:val="CM11"/>
    <w:basedOn w:val="Default"/>
    <w:next w:val="Default"/>
    <w:uiPriority w:val="99"/>
    <w:rsid w:val="00035316"/>
    <w:rPr>
      <w:color w:val="auto"/>
    </w:rPr>
  </w:style>
  <w:style w:type="paragraph" w:customStyle="1" w:styleId="CM12">
    <w:name w:val="CM12"/>
    <w:basedOn w:val="Default"/>
    <w:next w:val="Default"/>
    <w:uiPriority w:val="99"/>
    <w:rsid w:val="00035316"/>
    <w:rPr>
      <w:color w:val="auto"/>
    </w:rPr>
  </w:style>
  <w:style w:type="paragraph" w:customStyle="1" w:styleId="CM13">
    <w:name w:val="CM13"/>
    <w:basedOn w:val="Default"/>
    <w:next w:val="Default"/>
    <w:uiPriority w:val="99"/>
    <w:rsid w:val="00035316"/>
    <w:rPr>
      <w:color w:val="auto"/>
    </w:rPr>
  </w:style>
  <w:style w:type="paragraph" w:customStyle="1" w:styleId="CM3">
    <w:name w:val="CM3"/>
    <w:basedOn w:val="Default"/>
    <w:next w:val="Default"/>
    <w:uiPriority w:val="99"/>
    <w:rsid w:val="00035316"/>
    <w:rPr>
      <w:color w:val="auto"/>
    </w:rPr>
  </w:style>
  <w:style w:type="paragraph" w:customStyle="1" w:styleId="CM14">
    <w:name w:val="CM14"/>
    <w:basedOn w:val="Default"/>
    <w:next w:val="Default"/>
    <w:uiPriority w:val="99"/>
    <w:rsid w:val="00035316"/>
    <w:rPr>
      <w:color w:val="auto"/>
    </w:rPr>
  </w:style>
  <w:style w:type="paragraph" w:customStyle="1" w:styleId="CM4">
    <w:name w:val="CM4"/>
    <w:basedOn w:val="Default"/>
    <w:next w:val="Default"/>
    <w:uiPriority w:val="99"/>
    <w:rsid w:val="00035316"/>
    <w:pPr>
      <w:spacing w:line="268" w:lineRule="atLeast"/>
    </w:pPr>
    <w:rPr>
      <w:color w:val="auto"/>
    </w:rPr>
  </w:style>
  <w:style w:type="paragraph" w:customStyle="1" w:styleId="CM6">
    <w:name w:val="CM6"/>
    <w:basedOn w:val="Default"/>
    <w:next w:val="Default"/>
    <w:uiPriority w:val="99"/>
    <w:rsid w:val="00035316"/>
    <w:pPr>
      <w:spacing w:line="220" w:lineRule="atLeast"/>
    </w:pPr>
    <w:rPr>
      <w:color w:val="auto"/>
    </w:rPr>
  </w:style>
  <w:style w:type="paragraph" w:customStyle="1" w:styleId="CM15">
    <w:name w:val="CM15"/>
    <w:basedOn w:val="Default"/>
    <w:next w:val="Default"/>
    <w:uiPriority w:val="99"/>
    <w:rsid w:val="00035316"/>
    <w:rPr>
      <w:color w:val="auto"/>
    </w:rPr>
  </w:style>
  <w:style w:type="paragraph" w:customStyle="1" w:styleId="CM16">
    <w:name w:val="CM16"/>
    <w:basedOn w:val="Default"/>
    <w:next w:val="Default"/>
    <w:uiPriority w:val="99"/>
    <w:rsid w:val="00035316"/>
    <w:rPr>
      <w:color w:val="auto"/>
    </w:rPr>
  </w:style>
  <w:style w:type="paragraph" w:customStyle="1" w:styleId="CM5">
    <w:name w:val="CM5"/>
    <w:basedOn w:val="Default"/>
    <w:next w:val="Default"/>
    <w:uiPriority w:val="99"/>
    <w:rsid w:val="00035316"/>
    <w:pPr>
      <w:spacing w:line="220" w:lineRule="atLeast"/>
    </w:pPr>
    <w:rPr>
      <w:color w:val="auto"/>
    </w:rPr>
  </w:style>
  <w:style w:type="paragraph" w:customStyle="1" w:styleId="msonormal0">
    <w:name w:val="msonormal"/>
    <w:basedOn w:val="Normal"/>
    <w:rsid w:val="00035316"/>
    <w:pPr>
      <w:spacing w:before="100" w:beforeAutospacing="1" w:after="100" w:afterAutospacing="1"/>
    </w:pPr>
    <w:rPr>
      <w:rFonts w:eastAsia="Times New Roman" w:cs="Times New Roman"/>
      <w:szCs w:val="24"/>
      <w:lang w:eastAsia="en-GB"/>
    </w:rPr>
  </w:style>
  <w:style w:type="paragraph" w:customStyle="1" w:styleId="font5">
    <w:name w:val="font5"/>
    <w:basedOn w:val="Normal"/>
    <w:rsid w:val="00035316"/>
    <w:pPr>
      <w:spacing w:before="100" w:beforeAutospacing="1" w:after="100" w:afterAutospacing="1"/>
    </w:pPr>
    <w:rPr>
      <w:rFonts w:eastAsia="Times New Roman" w:cs="Times New Roman"/>
      <w:sz w:val="20"/>
      <w:szCs w:val="20"/>
      <w:lang w:eastAsia="en-GB"/>
    </w:rPr>
  </w:style>
  <w:style w:type="paragraph" w:customStyle="1" w:styleId="font6">
    <w:name w:val="font6"/>
    <w:basedOn w:val="Normal"/>
    <w:rsid w:val="00035316"/>
    <w:pPr>
      <w:spacing w:before="100" w:beforeAutospacing="1" w:after="100" w:afterAutospacing="1"/>
    </w:pPr>
    <w:rPr>
      <w:rFonts w:eastAsia="Times New Roman" w:cs="Times New Roman"/>
      <w:sz w:val="20"/>
      <w:szCs w:val="20"/>
      <w:lang w:eastAsia="en-GB"/>
    </w:rPr>
  </w:style>
  <w:style w:type="paragraph" w:customStyle="1" w:styleId="font7">
    <w:name w:val="font7"/>
    <w:basedOn w:val="Normal"/>
    <w:rsid w:val="00035316"/>
    <w:pPr>
      <w:spacing w:before="100" w:beforeAutospacing="1" w:after="100" w:afterAutospacing="1"/>
    </w:pPr>
    <w:rPr>
      <w:rFonts w:eastAsia="Times New Roman" w:cs="Times New Roman"/>
      <w:sz w:val="20"/>
      <w:szCs w:val="20"/>
      <w:lang w:eastAsia="en-GB"/>
    </w:rPr>
  </w:style>
  <w:style w:type="paragraph" w:customStyle="1" w:styleId="xl63">
    <w:name w:val="xl63"/>
    <w:basedOn w:val="Normal"/>
    <w:rsid w:val="00035316"/>
    <w:pPr>
      <w:spacing w:before="100" w:beforeAutospacing="1" w:after="100" w:afterAutospacing="1"/>
    </w:pPr>
    <w:rPr>
      <w:rFonts w:ascii="Arial" w:eastAsia="Times New Roman" w:hAnsi="Arial"/>
      <w:szCs w:val="24"/>
      <w:lang w:eastAsia="en-GB"/>
    </w:rPr>
  </w:style>
  <w:style w:type="paragraph" w:customStyle="1" w:styleId="xl64">
    <w:name w:val="xl64"/>
    <w:basedOn w:val="Normal"/>
    <w:rsid w:val="000353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szCs w:val="24"/>
      <w:lang w:eastAsia="en-GB"/>
    </w:rPr>
  </w:style>
  <w:style w:type="paragraph" w:customStyle="1" w:styleId="xl65">
    <w:name w:val="xl65"/>
    <w:basedOn w:val="Normal"/>
    <w:rsid w:val="000353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en-GB"/>
    </w:rPr>
  </w:style>
  <w:style w:type="paragraph" w:customStyle="1" w:styleId="xl66">
    <w:name w:val="xl66"/>
    <w:basedOn w:val="Normal"/>
    <w:rsid w:val="000353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en-GB"/>
    </w:rPr>
  </w:style>
  <w:style w:type="paragraph" w:customStyle="1" w:styleId="xl67">
    <w:name w:val="xl67"/>
    <w:basedOn w:val="Normal"/>
    <w:rsid w:val="000353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en-GB"/>
    </w:rPr>
  </w:style>
  <w:style w:type="paragraph" w:customStyle="1" w:styleId="xl68">
    <w:name w:val="xl68"/>
    <w:basedOn w:val="Normal"/>
    <w:rsid w:val="000353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Cs w:val="24"/>
      <w:lang w:eastAsia="en-GB"/>
    </w:rPr>
  </w:style>
  <w:style w:type="paragraph" w:customStyle="1" w:styleId="xl69">
    <w:name w:val="xl69"/>
    <w:basedOn w:val="Normal"/>
    <w:rsid w:val="00035316"/>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szCs w:val="24"/>
      <w:lang w:eastAsia="en-GB"/>
    </w:rPr>
  </w:style>
  <w:style w:type="paragraph" w:customStyle="1" w:styleId="xl70">
    <w:name w:val="xl70"/>
    <w:basedOn w:val="Normal"/>
    <w:rsid w:val="0003531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eastAsia="Times New Roman" w:cs="Times New Roman"/>
      <w:szCs w:val="24"/>
      <w:lang w:eastAsia="en-GB"/>
    </w:rPr>
  </w:style>
  <w:style w:type="paragraph" w:customStyle="1" w:styleId="xl71">
    <w:name w:val="xl71"/>
    <w:basedOn w:val="Normal"/>
    <w:rsid w:val="0003531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eastAsia="Times New Roman" w:cs="Times New Roman"/>
      <w:szCs w:val="24"/>
      <w:lang w:eastAsia="en-GB"/>
    </w:rPr>
  </w:style>
  <w:style w:type="paragraph" w:customStyle="1" w:styleId="xl72">
    <w:name w:val="xl72"/>
    <w:basedOn w:val="Normal"/>
    <w:rsid w:val="00035316"/>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szCs w:val="24"/>
      <w:lang w:eastAsia="en-GB"/>
    </w:rPr>
  </w:style>
  <w:style w:type="paragraph" w:customStyle="1" w:styleId="xl73">
    <w:name w:val="xl73"/>
    <w:basedOn w:val="Normal"/>
    <w:rsid w:val="0003531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szCs w:val="24"/>
      <w:lang w:eastAsia="en-GB"/>
    </w:rPr>
  </w:style>
  <w:style w:type="paragraph" w:customStyle="1" w:styleId="xl74">
    <w:name w:val="xl74"/>
    <w:basedOn w:val="Normal"/>
    <w:rsid w:val="00035316"/>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en-GB"/>
    </w:rPr>
  </w:style>
  <w:style w:type="paragraph" w:customStyle="1" w:styleId="xl75">
    <w:name w:val="xl75"/>
    <w:basedOn w:val="Normal"/>
    <w:rsid w:val="00035316"/>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en-GB"/>
    </w:rPr>
  </w:style>
  <w:style w:type="paragraph" w:customStyle="1" w:styleId="xl76">
    <w:name w:val="xl76"/>
    <w:basedOn w:val="Normal"/>
    <w:rsid w:val="00035316"/>
    <w:pPr>
      <w:pBdr>
        <w:left w:val="single" w:sz="4" w:space="0" w:color="auto"/>
        <w:bottom w:val="single" w:sz="4" w:space="0" w:color="auto"/>
      </w:pBdr>
      <w:spacing w:before="100" w:beforeAutospacing="1" w:after="100" w:afterAutospacing="1"/>
      <w:jc w:val="center"/>
      <w:textAlignment w:val="center"/>
    </w:pPr>
    <w:rPr>
      <w:rFonts w:eastAsia="Times New Roman" w:cs="Times New Roman"/>
      <w:szCs w:val="24"/>
      <w:lang w:eastAsia="en-GB"/>
    </w:rPr>
  </w:style>
  <w:style w:type="paragraph" w:customStyle="1" w:styleId="xl77">
    <w:name w:val="xl77"/>
    <w:basedOn w:val="Normal"/>
    <w:rsid w:val="00035316"/>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szCs w:val="24"/>
      <w:lang w:eastAsia="en-GB"/>
    </w:rPr>
  </w:style>
  <w:style w:type="paragraph" w:customStyle="1" w:styleId="xl78">
    <w:name w:val="xl78"/>
    <w:basedOn w:val="Normal"/>
    <w:rsid w:val="0003531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szCs w:val="24"/>
      <w:lang w:eastAsia="en-GB"/>
    </w:rPr>
  </w:style>
  <w:style w:type="paragraph" w:customStyle="1" w:styleId="xl79">
    <w:name w:val="xl79"/>
    <w:basedOn w:val="Normal"/>
    <w:rsid w:val="0003531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Cs w:val="24"/>
      <w:lang w:eastAsia="en-GB"/>
    </w:rPr>
  </w:style>
  <w:style w:type="paragraph" w:customStyle="1" w:styleId="xl80">
    <w:name w:val="xl80"/>
    <w:basedOn w:val="Normal"/>
    <w:rsid w:val="00035316"/>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Cs w:val="24"/>
      <w:lang w:eastAsia="en-GB"/>
    </w:rPr>
  </w:style>
  <w:style w:type="paragraph" w:customStyle="1" w:styleId="xl81">
    <w:name w:val="xl81"/>
    <w:basedOn w:val="Normal"/>
    <w:rsid w:val="00035316"/>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eastAsia="Times New Roman" w:cs="Times New Roman"/>
      <w:color w:val="000000"/>
      <w:szCs w:val="24"/>
      <w:lang w:eastAsia="en-GB"/>
    </w:rPr>
  </w:style>
  <w:style w:type="paragraph" w:customStyle="1" w:styleId="xl82">
    <w:name w:val="xl82"/>
    <w:basedOn w:val="Normal"/>
    <w:rsid w:val="00035316"/>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eastAsia="Times New Roman" w:cs="Times New Roman"/>
      <w:color w:val="000000"/>
      <w:szCs w:val="24"/>
      <w:lang w:eastAsia="en-GB"/>
    </w:rPr>
  </w:style>
  <w:style w:type="paragraph" w:customStyle="1" w:styleId="xl83">
    <w:name w:val="xl83"/>
    <w:basedOn w:val="Normal"/>
    <w:rsid w:val="00035316"/>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eastAsia="Times New Roman" w:cs="Times New Roman"/>
      <w:szCs w:val="24"/>
      <w:lang w:eastAsia="en-GB"/>
    </w:rPr>
  </w:style>
  <w:style w:type="paragraph" w:customStyle="1" w:styleId="xl84">
    <w:name w:val="xl84"/>
    <w:basedOn w:val="Normal"/>
    <w:rsid w:val="00035316"/>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eastAsia="Times New Roman" w:cs="Times New Roman"/>
      <w:color w:val="000000"/>
      <w:szCs w:val="24"/>
      <w:lang w:eastAsia="en-GB"/>
    </w:rPr>
  </w:style>
  <w:style w:type="paragraph" w:customStyle="1" w:styleId="Tablecaptions">
    <w:name w:val="Table captions"/>
    <w:basedOn w:val="CM1"/>
    <w:link w:val="TablecaptionsChar"/>
    <w:qFormat/>
    <w:rsid w:val="00C6751B"/>
    <w:pPr>
      <w:spacing w:before="300" w:after="100"/>
    </w:pPr>
    <w:rPr>
      <w:i/>
      <w:sz w:val="20"/>
      <w:szCs w:val="20"/>
    </w:rPr>
  </w:style>
  <w:style w:type="character" w:customStyle="1" w:styleId="TablecaptionsChar">
    <w:name w:val="Table captions Char"/>
    <w:link w:val="Tablecaptions"/>
    <w:rsid w:val="00C6751B"/>
    <w:rPr>
      <w:rFonts w:ascii="Times New Roman" w:eastAsia="Calibri" w:hAnsi="Times New Roman" w:cs="Times New Roman"/>
      <w:i/>
      <w:color w:val="000000"/>
      <w:sz w:val="20"/>
      <w:szCs w:val="20"/>
      <w:lang w:eastAsia="en-GB"/>
    </w:rPr>
  </w:style>
  <w:style w:type="paragraph" w:styleId="TOCHeading">
    <w:name w:val="TOC Heading"/>
    <w:basedOn w:val="Heading1"/>
    <w:next w:val="Normal"/>
    <w:uiPriority w:val="39"/>
    <w:unhideWhenUsed/>
    <w:qFormat/>
    <w:rsid w:val="009C2674"/>
    <w:pPr>
      <w:keepLines/>
      <w:spacing w:before="240" w:after="0" w:line="259" w:lineRule="auto"/>
      <w:ind w:left="0" w:firstLine="0"/>
      <w:outlineLvl w:val="9"/>
    </w:pPr>
    <w:rPr>
      <w:rFonts w:ascii="Cambria" w:eastAsia="Cambria" w:hAnsi="Cambria"/>
      <w:b w:val="0"/>
      <w:bCs w:val="0"/>
      <w:caps w:val="0"/>
      <w:color w:val="365F91"/>
      <w:kern w:val="0"/>
      <w:sz w:val="32"/>
      <w:lang w:val="en-US"/>
    </w:rPr>
  </w:style>
  <w:style w:type="paragraph" w:styleId="TOC1">
    <w:name w:val="toc 1"/>
    <w:basedOn w:val="Normal"/>
    <w:next w:val="Normal"/>
    <w:autoRedefine/>
    <w:uiPriority w:val="39"/>
    <w:unhideWhenUsed/>
    <w:rsid w:val="009C2674"/>
    <w:pPr>
      <w:spacing w:after="100"/>
    </w:pPr>
  </w:style>
  <w:style w:type="paragraph" w:styleId="TOC2">
    <w:name w:val="toc 2"/>
    <w:basedOn w:val="Normal"/>
    <w:next w:val="Normal"/>
    <w:autoRedefine/>
    <w:uiPriority w:val="39"/>
    <w:unhideWhenUsed/>
    <w:rsid w:val="009C2674"/>
    <w:pPr>
      <w:spacing w:after="100"/>
      <w:ind w:left="240"/>
    </w:pPr>
  </w:style>
  <w:style w:type="paragraph" w:styleId="TOC3">
    <w:name w:val="toc 3"/>
    <w:basedOn w:val="Normal"/>
    <w:next w:val="Normal"/>
    <w:autoRedefine/>
    <w:uiPriority w:val="39"/>
    <w:unhideWhenUsed/>
    <w:rsid w:val="00237083"/>
    <w:pPr>
      <w:tabs>
        <w:tab w:val="right" w:leader="dot" w:pos="9345"/>
      </w:tabs>
      <w:ind w:left="482"/>
    </w:pPr>
  </w:style>
  <w:style w:type="paragraph" w:styleId="TOC4">
    <w:name w:val="toc 4"/>
    <w:basedOn w:val="Normal"/>
    <w:next w:val="Normal"/>
    <w:autoRedefine/>
    <w:uiPriority w:val="39"/>
    <w:unhideWhenUsed/>
    <w:rsid w:val="00DA227F"/>
    <w:pPr>
      <w:spacing w:after="100"/>
      <w:ind w:left="720"/>
    </w:pPr>
  </w:style>
  <w:style w:type="paragraph" w:styleId="TOC5">
    <w:name w:val="toc 5"/>
    <w:basedOn w:val="Normal"/>
    <w:next w:val="Normal"/>
    <w:autoRedefine/>
    <w:uiPriority w:val="39"/>
    <w:unhideWhenUsed/>
    <w:rsid w:val="00DA227F"/>
    <w:pPr>
      <w:spacing w:after="100"/>
      <w:ind w:left="960"/>
    </w:pPr>
  </w:style>
  <w:style w:type="paragraph" w:styleId="NormalWeb">
    <w:name w:val="Normal (Web)"/>
    <w:basedOn w:val="Normal"/>
    <w:uiPriority w:val="99"/>
    <w:semiHidden/>
    <w:unhideWhenUsed/>
    <w:rsid w:val="00A9618D"/>
    <w:pPr>
      <w:spacing w:before="100" w:beforeAutospacing="1" w:after="100" w:afterAutospacing="1"/>
    </w:pPr>
    <w:rPr>
      <w:rFonts w:eastAsia="Times New Roman" w:cs="Times New Roman"/>
      <w:szCs w:val="24"/>
      <w:lang w:eastAsia="en-GB"/>
    </w:rPr>
  </w:style>
  <w:style w:type="paragraph" w:styleId="TOC6">
    <w:name w:val="toc 6"/>
    <w:basedOn w:val="Normal"/>
    <w:next w:val="Normal"/>
    <w:autoRedefine/>
    <w:uiPriority w:val="39"/>
    <w:unhideWhenUsed/>
    <w:rsid w:val="00237083"/>
    <w:pPr>
      <w:tabs>
        <w:tab w:val="right" w:leader="dot" w:pos="9345"/>
      </w:tabs>
      <w:ind w:left="1202"/>
    </w:pPr>
  </w:style>
  <w:style w:type="character" w:customStyle="1" w:styleId="tlid-translation">
    <w:name w:val="tlid-translation"/>
    <w:rsid w:val="008E28C5"/>
  </w:style>
  <w:style w:type="character" w:customStyle="1" w:styleId="BodytextIndentChar">
    <w:name w:val="Body text Indent Char"/>
    <w:rsid w:val="00C33C35"/>
    <w:rPr>
      <w:rFonts w:ascii="Arial" w:hAnsi="Arial"/>
      <w:sz w:val="24"/>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246248">
      <w:bodyDiv w:val="1"/>
      <w:marLeft w:val="0"/>
      <w:marRight w:val="0"/>
      <w:marTop w:val="0"/>
      <w:marBottom w:val="0"/>
      <w:divBdr>
        <w:top w:val="none" w:sz="0" w:space="0" w:color="auto"/>
        <w:left w:val="none" w:sz="0" w:space="0" w:color="auto"/>
        <w:bottom w:val="none" w:sz="0" w:space="0" w:color="auto"/>
        <w:right w:val="none" w:sz="0" w:space="0" w:color="auto"/>
      </w:divBdr>
    </w:div>
    <w:div w:id="921108653">
      <w:bodyDiv w:val="1"/>
      <w:marLeft w:val="0"/>
      <w:marRight w:val="0"/>
      <w:marTop w:val="0"/>
      <w:marBottom w:val="0"/>
      <w:divBdr>
        <w:top w:val="none" w:sz="0" w:space="0" w:color="auto"/>
        <w:left w:val="none" w:sz="0" w:space="0" w:color="auto"/>
        <w:bottom w:val="none" w:sz="0" w:space="0" w:color="auto"/>
        <w:right w:val="none" w:sz="0" w:space="0" w:color="auto"/>
      </w:divBdr>
    </w:div>
    <w:div w:id="1972440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hyperlink" Target="https://doi.org/10.1007/s007690050218" TargetMode="External"/><Relationship Id="rId3" Type="http://schemas.openxmlformats.org/officeDocument/2006/relationships/styles" Target="styles.xml"/><Relationship Id="rId21" Type="http://schemas.openxmlformats.org/officeDocument/2006/relationships/hyperlink" Target="https://doi.org/10.1351/pac200678010145" TargetMode="External"/><Relationship Id="rId7" Type="http://schemas.openxmlformats.org/officeDocument/2006/relationships/endnotes" Target="endnotes.xml"/><Relationship Id="rId12" Type="http://schemas.openxmlformats.org/officeDocument/2006/relationships/hyperlink" Target="http://www.globalgeochemicalbaselines.eu/" TargetMode="External"/><Relationship Id="rId17" Type="http://schemas.openxmlformats.org/officeDocument/2006/relationships/hyperlink" Target="https://doi.org/10.1007/s00769000026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doi.org/10.1002/9780470670071.ch5" TargetMode="External"/><Relationship Id="rId20" Type="http://schemas.openxmlformats.org/officeDocument/2006/relationships/hyperlink" Target="http://www.ngu.no/upload/Publikasjoner/Rapporter/1990/90_106.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ugs.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eurachem.org/images/stories/Guides/pdf/UfS_2019_EN_P2.pdf" TargetMode="External"/><Relationship Id="rId23" Type="http://schemas.openxmlformats.org/officeDocument/2006/relationships/footer" Target="footer2.xml"/><Relationship Id="rId10" Type="http://schemas.openxmlformats.org/officeDocument/2006/relationships/image" Target="media/image2.gif"/><Relationship Id="rId19" Type="http://schemas.openxmlformats.org/officeDocument/2006/relationships/hyperlink" Target="https://www.eurachem.org/images/stories/Guides/pdf/UfS_2019_EN_P2.pdf" TargetMode="External"/><Relationship Id="rId4" Type="http://schemas.openxmlformats.org/officeDocument/2006/relationships/settings" Target="settings.xml"/><Relationship Id="rId9" Type="http://schemas.openxmlformats.org/officeDocument/2006/relationships/hyperlink" Target="http://www.globalgeochemicalbaselines.eu/" TargetMode="External"/><Relationship Id="rId14" Type="http://schemas.openxmlformats.org/officeDocument/2006/relationships/hyperlink" Target="https://www.fao.org/3/ca9320en/ca9320en.pdf"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7B55A5-6ECC-4C5C-A7E3-D9A3DBA89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4036</Words>
  <Characters>23007</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26990</CharactersWithSpaces>
  <SharedDoc>false</SharedDoc>
  <HLinks>
    <vt:vector size="156" baseType="variant">
      <vt:variant>
        <vt:i4>7733365</vt:i4>
      </vt:variant>
      <vt:variant>
        <vt:i4>129</vt:i4>
      </vt:variant>
      <vt:variant>
        <vt:i4>0</vt:i4>
      </vt:variant>
      <vt:variant>
        <vt:i4>5</vt:i4>
      </vt:variant>
      <vt:variant>
        <vt:lpwstr>https://doi.org/10.1351/pac200678010145</vt:lpwstr>
      </vt:variant>
      <vt:variant>
        <vt:lpwstr/>
      </vt:variant>
      <vt:variant>
        <vt:i4>720953</vt:i4>
      </vt:variant>
      <vt:variant>
        <vt:i4>126</vt:i4>
      </vt:variant>
      <vt:variant>
        <vt:i4>0</vt:i4>
      </vt:variant>
      <vt:variant>
        <vt:i4>5</vt:i4>
      </vt:variant>
      <vt:variant>
        <vt:lpwstr>http://www.ngu.no/upload/Publikasjoner/Rapporter/1990/90_106.pdf</vt:lpwstr>
      </vt:variant>
      <vt:variant>
        <vt:lpwstr/>
      </vt:variant>
      <vt:variant>
        <vt:i4>2424858</vt:i4>
      </vt:variant>
      <vt:variant>
        <vt:i4>123</vt:i4>
      </vt:variant>
      <vt:variant>
        <vt:i4>0</vt:i4>
      </vt:variant>
      <vt:variant>
        <vt:i4>5</vt:i4>
      </vt:variant>
      <vt:variant>
        <vt:lpwstr>https://www.eurachem.org/images/stories/Guides/pdf/UfS_2019_EN_P2.pdf</vt:lpwstr>
      </vt:variant>
      <vt:variant>
        <vt:lpwstr/>
      </vt:variant>
      <vt:variant>
        <vt:i4>1835039</vt:i4>
      </vt:variant>
      <vt:variant>
        <vt:i4>120</vt:i4>
      </vt:variant>
      <vt:variant>
        <vt:i4>0</vt:i4>
      </vt:variant>
      <vt:variant>
        <vt:i4>5</vt:i4>
      </vt:variant>
      <vt:variant>
        <vt:lpwstr>https://doi.org/10.1007/s007690050218</vt:lpwstr>
      </vt:variant>
      <vt:variant>
        <vt:lpwstr/>
      </vt:variant>
      <vt:variant>
        <vt:i4>1769498</vt:i4>
      </vt:variant>
      <vt:variant>
        <vt:i4>117</vt:i4>
      </vt:variant>
      <vt:variant>
        <vt:i4>0</vt:i4>
      </vt:variant>
      <vt:variant>
        <vt:i4>5</vt:i4>
      </vt:variant>
      <vt:variant>
        <vt:lpwstr>https://doi.org/10.1007/s007690000261</vt:lpwstr>
      </vt:variant>
      <vt:variant>
        <vt:lpwstr/>
      </vt:variant>
      <vt:variant>
        <vt:i4>5505032</vt:i4>
      </vt:variant>
      <vt:variant>
        <vt:i4>114</vt:i4>
      </vt:variant>
      <vt:variant>
        <vt:i4>0</vt:i4>
      </vt:variant>
      <vt:variant>
        <vt:i4>5</vt:i4>
      </vt:variant>
      <vt:variant>
        <vt:lpwstr>https://doi.org/10.1002/9780470670071.ch5</vt:lpwstr>
      </vt:variant>
      <vt:variant>
        <vt:lpwstr/>
      </vt:variant>
      <vt:variant>
        <vt:i4>2424858</vt:i4>
      </vt:variant>
      <vt:variant>
        <vt:i4>111</vt:i4>
      </vt:variant>
      <vt:variant>
        <vt:i4>0</vt:i4>
      </vt:variant>
      <vt:variant>
        <vt:i4>5</vt:i4>
      </vt:variant>
      <vt:variant>
        <vt:lpwstr>https://www.eurachem.org/images/stories/Guides/pdf/UfS_2019_EN_P2.pdf</vt:lpwstr>
      </vt:variant>
      <vt:variant>
        <vt:lpwstr/>
      </vt:variant>
      <vt:variant>
        <vt:i4>1507381</vt:i4>
      </vt:variant>
      <vt:variant>
        <vt:i4>104</vt:i4>
      </vt:variant>
      <vt:variant>
        <vt:i4>0</vt:i4>
      </vt:variant>
      <vt:variant>
        <vt:i4>5</vt:i4>
      </vt:variant>
      <vt:variant>
        <vt:lpwstr/>
      </vt:variant>
      <vt:variant>
        <vt:lpwstr>_Toc85044899</vt:lpwstr>
      </vt:variant>
      <vt:variant>
        <vt:i4>1441845</vt:i4>
      </vt:variant>
      <vt:variant>
        <vt:i4>98</vt:i4>
      </vt:variant>
      <vt:variant>
        <vt:i4>0</vt:i4>
      </vt:variant>
      <vt:variant>
        <vt:i4>5</vt:i4>
      </vt:variant>
      <vt:variant>
        <vt:lpwstr/>
      </vt:variant>
      <vt:variant>
        <vt:lpwstr>_Toc85044898</vt:lpwstr>
      </vt:variant>
      <vt:variant>
        <vt:i4>1638453</vt:i4>
      </vt:variant>
      <vt:variant>
        <vt:i4>92</vt:i4>
      </vt:variant>
      <vt:variant>
        <vt:i4>0</vt:i4>
      </vt:variant>
      <vt:variant>
        <vt:i4>5</vt:i4>
      </vt:variant>
      <vt:variant>
        <vt:lpwstr/>
      </vt:variant>
      <vt:variant>
        <vt:lpwstr>_Toc85044897</vt:lpwstr>
      </vt:variant>
      <vt:variant>
        <vt:i4>1572917</vt:i4>
      </vt:variant>
      <vt:variant>
        <vt:i4>86</vt:i4>
      </vt:variant>
      <vt:variant>
        <vt:i4>0</vt:i4>
      </vt:variant>
      <vt:variant>
        <vt:i4>5</vt:i4>
      </vt:variant>
      <vt:variant>
        <vt:lpwstr/>
      </vt:variant>
      <vt:variant>
        <vt:lpwstr>_Toc85044896</vt:lpwstr>
      </vt:variant>
      <vt:variant>
        <vt:i4>1769525</vt:i4>
      </vt:variant>
      <vt:variant>
        <vt:i4>80</vt:i4>
      </vt:variant>
      <vt:variant>
        <vt:i4>0</vt:i4>
      </vt:variant>
      <vt:variant>
        <vt:i4>5</vt:i4>
      </vt:variant>
      <vt:variant>
        <vt:lpwstr/>
      </vt:variant>
      <vt:variant>
        <vt:lpwstr>_Toc85044895</vt:lpwstr>
      </vt:variant>
      <vt:variant>
        <vt:i4>1703989</vt:i4>
      </vt:variant>
      <vt:variant>
        <vt:i4>74</vt:i4>
      </vt:variant>
      <vt:variant>
        <vt:i4>0</vt:i4>
      </vt:variant>
      <vt:variant>
        <vt:i4>5</vt:i4>
      </vt:variant>
      <vt:variant>
        <vt:lpwstr/>
      </vt:variant>
      <vt:variant>
        <vt:lpwstr>_Toc85044894</vt:lpwstr>
      </vt:variant>
      <vt:variant>
        <vt:i4>1900597</vt:i4>
      </vt:variant>
      <vt:variant>
        <vt:i4>68</vt:i4>
      </vt:variant>
      <vt:variant>
        <vt:i4>0</vt:i4>
      </vt:variant>
      <vt:variant>
        <vt:i4>5</vt:i4>
      </vt:variant>
      <vt:variant>
        <vt:lpwstr/>
      </vt:variant>
      <vt:variant>
        <vt:lpwstr>_Toc85044893</vt:lpwstr>
      </vt:variant>
      <vt:variant>
        <vt:i4>1835061</vt:i4>
      </vt:variant>
      <vt:variant>
        <vt:i4>62</vt:i4>
      </vt:variant>
      <vt:variant>
        <vt:i4>0</vt:i4>
      </vt:variant>
      <vt:variant>
        <vt:i4>5</vt:i4>
      </vt:variant>
      <vt:variant>
        <vt:lpwstr/>
      </vt:variant>
      <vt:variant>
        <vt:lpwstr>_Toc85044892</vt:lpwstr>
      </vt:variant>
      <vt:variant>
        <vt:i4>2031669</vt:i4>
      </vt:variant>
      <vt:variant>
        <vt:i4>56</vt:i4>
      </vt:variant>
      <vt:variant>
        <vt:i4>0</vt:i4>
      </vt:variant>
      <vt:variant>
        <vt:i4>5</vt:i4>
      </vt:variant>
      <vt:variant>
        <vt:lpwstr/>
      </vt:variant>
      <vt:variant>
        <vt:lpwstr>_Toc85044891</vt:lpwstr>
      </vt:variant>
      <vt:variant>
        <vt:i4>1966133</vt:i4>
      </vt:variant>
      <vt:variant>
        <vt:i4>50</vt:i4>
      </vt:variant>
      <vt:variant>
        <vt:i4>0</vt:i4>
      </vt:variant>
      <vt:variant>
        <vt:i4>5</vt:i4>
      </vt:variant>
      <vt:variant>
        <vt:lpwstr/>
      </vt:variant>
      <vt:variant>
        <vt:lpwstr>_Toc85044890</vt:lpwstr>
      </vt:variant>
      <vt:variant>
        <vt:i4>1507380</vt:i4>
      </vt:variant>
      <vt:variant>
        <vt:i4>44</vt:i4>
      </vt:variant>
      <vt:variant>
        <vt:i4>0</vt:i4>
      </vt:variant>
      <vt:variant>
        <vt:i4>5</vt:i4>
      </vt:variant>
      <vt:variant>
        <vt:lpwstr/>
      </vt:variant>
      <vt:variant>
        <vt:lpwstr>_Toc85044889</vt:lpwstr>
      </vt:variant>
      <vt:variant>
        <vt:i4>1441844</vt:i4>
      </vt:variant>
      <vt:variant>
        <vt:i4>38</vt:i4>
      </vt:variant>
      <vt:variant>
        <vt:i4>0</vt:i4>
      </vt:variant>
      <vt:variant>
        <vt:i4>5</vt:i4>
      </vt:variant>
      <vt:variant>
        <vt:lpwstr/>
      </vt:variant>
      <vt:variant>
        <vt:lpwstr>_Toc85044888</vt:lpwstr>
      </vt:variant>
      <vt:variant>
        <vt:i4>1638452</vt:i4>
      </vt:variant>
      <vt:variant>
        <vt:i4>32</vt:i4>
      </vt:variant>
      <vt:variant>
        <vt:i4>0</vt:i4>
      </vt:variant>
      <vt:variant>
        <vt:i4>5</vt:i4>
      </vt:variant>
      <vt:variant>
        <vt:lpwstr/>
      </vt:variant>
      <vt:variant>
        <vt:lpwstr>_Toc85044887</vt:lpwstr>
      </vt:variant>
      <vt:variant>
        <vt:i4>1572916</vt:i4>
      </vt:variant>
      <vt:variant>
        <vt:i4>26</vt:i4>
      </vt:variant>
      <vt:variant>
        <vt:i4>0</vt:i4>
      </vt:variant>
      <vt:variant>
        <vt:i4>5</vt:i4>
      </vt:variant>
      <vt:variant>
        <vt:lpwstr/>
      </vt:variant>
      <vt:variant>
        <vt:lpwstr>_Toc85044886</vt:lpwstr>
      </vt:variant>
      <vt:variant>
        <vt:i4>1769524</vt:i4>
      </vt:variant>
      <vt:variant>
        <vt:i4>20</vt:i4>
      </vt:variant>
      <vt:variant>
        <vt:i4>0</vt:i4>
      </vt:variant>
      <vt:variant>
        <vt:i4>5</vt:i4>
      </vt:variant>
      <vt:variant>
        <vt:lpwstr/>
      </vt:variant>
      <vt:variant>
        <vt:lpwstr>_Toc85044885</vt:lpwstr>
      </vt:variant>
      <vt:variant>
        <vt:i4>1703988</vt:i4>
      </vt:variant>
      <vt:variant>
        <vt:i4>14</vt:i4>
      </vt:variant>
      <vt:variant>
        <vt:i4>0</vt:i4>
      </vt:variant>
      <vt:variant>
        <vt:i4>5</vt:i4>
      </vt:variant>
      <vt:variant>
        <vt:lpwstr/>
      </vt:variant>
      <vt:variant>
        <vt:lpwstr>_Toc85044884</vt:lpwstr>
      </vt:variant>
      <vt:variant>
        <vt:i4>1900596</vt:i4>
      </vt:variant>
      <vt:variant>
        <vt:i4>8</vt:i4>
      </vt:variant>
      <vt:variant>
        <vt:i4>0</vt:i4>
      </vt:variant>
      <vt:variant>
        <vt:i4>5</vt:i4>
      </vt:variant>
      <vt:variant>
        <vt:lpwstr/>
      </vt:variant>
      <vt:variant>
        <vt:lpwstr>_Toc85044883</vt:lpwstr>
      </vt:variant>
      <vt:variant>
        <vt:i4>1245276</vt:i4>
      </vt:variant>
      <vt:variant>
        <vt:i4>3</vt:i4>
      </vt:variant>
      <vt:variant>
        <vt:i4>0</vt:i4>
      </vt:variant>
      <vt:variant>
        <vt:i4>5</vt:i4>
      </vt:variant>
      <vt:variant>
        <vt:lpwstr>http://www.globalgeochemicalbaselines.eu/</vt:lpwstr>
      </vt:variant>
      <vt:variant>
        <vt:lpwstr/>
      </vt:variant>
      <vt:variant>
        <vt:i4>5636190</vt:i4>
      </vt:variant>
      <vt:variant>
        <vt:i4>0</vt:i4>
      </vt:variant>
      <vt:variant>
        <vt:i4>0</vt:i4>
      </vt:variant>
      <vt:variant>
        <vt:i4>5</vt:i4>
      </vt:variant>
      <vt:variant>
        <vt:lpwstr>http://www.iugs.org/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Alecos Demetriades</dc:creator>
  <cp:keywords/>
  <dc:description/>
  <cp:lastModifiedBy>Alecos Demetriades</cp:lastModifiedBy>
  <cp:revision>2</cp:revision>
  <cp:lastPrinted>2022-08-31T08:13:00Z</cp:lastPrinted>
  <dcterms:created xsi:type="dcterms:W3CDTF">2022-08-31T08:14:00Z</dcterms:created>
  <dcterms:modified xsi:type="dcterms:W3CDTF">2022-08-31T08:14:00Z</dcterms:modified>
</cp:coreProperties>
</file>