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Look w:val="04A0" w:firstRow="1" w:lastRow="0" w:firstColumn="1" w:lastColumn="0" w:noHBand="0" w:noVBand="1"/>
      </w:tblPr>
      <w:tblGrid>
        <w:gridCol w:w="3006"/>
        <w:gridCol w:w="3603"/>
        <w:gridCol w:w="2746"/>
      </w:tblGrid>
      <w:tr w:rsidR="00B545FD" w:rsidRPr="00687131" w14:paraId="076564A3" w14:textId="77777777" w:rsidTr="009812E1">
        <w:trPr>
          <w:jc w:val="center"/>
        </w:trPr>
        <w:tc>
          <w:tcPr>
            <w:tcW w:w="1985" w:type="dxa"/>
            <w:vAlign w:val="center"/>
          </w:tcPr>
          <w:p w14:paraId="3A4C8F96" w14:textId="0A637DC5" w:rsidR="00B545FD" w:rsidRPr="00687131" w:rsidRDefault="009812E1" w:rsidP="009812E1">
            <w:pPr>
              <w:jc w:val="center"/>
              <w:rPr>
                <w:b/>
                <w:sz w:val="28"/>
                <w:szCs w:val="28"/>
              </w:rPr>
            </w:pPr>
            <w:r>
              <w:rPr>
                <w:b/>
                <w:noProof/>
                <w:sz w:val="28"/>
                <w:szCs w:val="28"/>
              </w:rPr>
              <w:drawing>
                <wp:inline distT="0" distB="0" distL="0" distR="0" wp14:anchorId="25DC9B86" wp14:editId="5F31A90B">
                  <wp:extent cx="1771500" cy="1080000"/>
                  <wp:effectExtent l="0" t="0" r="635" b="6350"/>
                  <wp:docPr id="33" name="Picture 3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Logo, company name&#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4819" w:type="dxa"/>
            <w:vAlign w:val="center"/>
          </w:tcPr>
          <w:p w14:paraId="262D30B4" w14:textId="77777777" w:rsidR="00B545FD" w:rsidRPr="00687131" w:rsidRDefault="00B545FD" w:rsidP="00035316">
            <w:pPr>
              <w:rPr>
                <w:b/>
                <w:sz w:val="28"/>
                <w:szCs w:val="28"/>
              </w:rPr>
            </w:pPr>
          </w:p>
        </w:tc>
        <w:tc>
          <w:tcPr>
            <w:tcW w:w="2357" w:type="dxa"/>
            <w:vAlign w:val="center"/>
          </w:tcPr>
          <w:p w14:paraId="2EB2409C" w14:textId="77777777" w:rsidR="00B545FD" w:rsidRPr="00687131" w:rsidRDefault="007705ED" w:rsidP="00035316">
            <w:pPr>
              <w:rPr>
                <w:b/>
                <w:sz w:val="28"/>
                <w:szCs w:val="28"/>
              </w:rPr>
            </w:pPr>
            <w:r w:rsidRPr="00687131">
              <w:rPr>
                <w:b/>
                <w:noProof/>
                <w:sz w:val="28"/>
                <w:szCs w:val="28"/>
                <w:lang w:eastAsia="en-GB"/>
              </w:rPr>
              <w:drawing>
                <wp:inline distT="0" distB="0" distL="0" distR="0" wp14:anchorId="36157C4E" wp14:editId="7B3ABB04">
                  <wp:extent cx="1606662" cy="1060396"/>
                  <wp:effectExtent l="0" t="0" r="0" b="6985"/>
                  <wp:docPr id="2" name="Picture 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9"/>
                          </pic:cNvPr>
                          <pic:cNvPicPr>
                            <a:picLocks noChangeAspect="1" noChangeArrowheads="1"/>
                          </pic:cNvPicPr>
                        </pic:nvPicPr>
                        <pic:blipFill>
                          <a:blip r:embed="rId10">
                            <a:extLst>
                              <a:ext uri="{28A0092B-C50C-407E-A947-70E740481C1C}">
                                <a14:useLocalDpi xmlns:a14="http://schemas.microsoft.com/office/drawing/2010/main"/>
                              </a:ext>
                            </a:extLst>
                          </a:blip>
                          <a:stretch>
                            <a:fillRect/>
                          </a:stretch>
                        </pic:blipFill>
                        <pic:spPr bwMode="auto">
                          <a:xfrm>
                            <a:off x="0" y="0"/>
                            <a:ext cx="1606662" cy="1060396"/>
                          </a:xfrm>
                          <a:prstGeom prst="rect">
                            <a:avLst/>
                          </a:prstGeom>
                          <a:noFill/>
                          <a:ln>
                            <a:noFill/>
                          </a:ln>
                        </pic:spPr>
                      </pic:pic>
                    </a:graphicData>
                  </a:graphic>
                </wp:inline>
              </w:drawing>
            </w:r>
          </w:p>
        </w:tc>
      </w:tr>
    </w:tbl>
    <w:p w14:paraId="57D26B06" w14:textId="77777777" w:rsidR="00B545FD" w:rsidRDefault="00B545FD" w:rsidP="00B545FD">
      <w:pPr>
        <w:rPr>
          <w:b/>
          <w:sz w:val="28"/>
          <w:szCs w:val="28"/>
        </w:rPr>
      </w:pPr>
    </w:p>
    <w:p w14:paraId="3E60ACA8" w14:textId="77777777" w:rsidR="00B545FD" w:rsidRDefault="00B545FD" w:rsidP="00B545FD">
      <w:pPr>
        <w:rPr>
          <w:b/>
          <w:sz w:val="28"/>
          <w:szCs w:val="28"/>
        </w:rPr>
      </w:pPr>
    </w:p>
    <w:p w14:paraId="1DCC7CF4" w14:textId="77777777" w:rsidR="00B545FD" w:rsidRDefault="00B545FD" w:rsidP="00B545FD">
      <w:pPr>
        <w:rPr>
          <w:b/>
          <w:sz w:val="28"/>
          <w:szCs w:val="28"/>
        </w:rPr>
      </w:pPr>
    </w:p>
    <w:p w14:paraId="48E260E6" w14:textId="77777777" w:rsidR="00B545FD" w:rsidRPr="00D055CC" w:rsidRDefault="00B545FD" w:rsidP="00B545FD">
      <w:pPr>
        <w:jc w:val="center"/>
        <w:rPr>
          <w:rFonts w:cs="Times New Roman"/>
          <w:b/>
          <w:sz w:val="32"/>
          <w:szCs w:val="32"/>
        </w:rPr>
      </w:pPr>
      <w:r w:rsidRPr="00D055CC">
        <w:rPr>
          <w:rFonts w:cs="Times New Roman"/>
          <w:b/>
          <w:sz w:val="32"/>
          <w:szCs w:val="32"/>
        </w:rPr>
        <w:t>International Union of Geological Sciences</w:t>
      </w:r>
    </w:p>
    <w:p w14:paraId="2FAC439A" w14:textId="77777777" w:rsidR="00B545FD" w:rsidRPr="00D055CC" w:rsidRDefault="00B545FD" w:rsidP="00B545FD">
      <w:pPr>
        <w:jc w:val="center"/>
        <w:rPr>
          <w:rFonts w:cs="Times New Roman"/>
          <w:b/>
          <w:sz w:val="32"/>
          <w:szCs w:val="32"/>
        </w:rPr>
      </w:pPr>
      <w:r w:rsidRPr="00D055CC">
        <w:rPr>
          <w:rFonts w:cs="Times New Roman"/>
          <w:b/>
          <w:sz w:val="32"/>
          <w:szCs w:val="32"/>
        </w:rPr>
        <w:t>Manual of Standard Methods</w:t>
      </w:r>
    </w:p>
    <w:p w14:paraId="7EAA41EF" w14:textId="77777777" w:rsidR="00B545FD" w:rsidRPr="00D055CC" w:rsidRDefault="00B545FD" w:rsidP="00B545FD">
      <w:pPr>
        <w:jc w:val="center"/>
        <w:rPr>
          <w:rFonts w:cs="Times New Roman"/>
          <w:b/>
          <w:sz w:val="32"/>
          <w:szCs w:val="32"/>
        </w:rPr>
      </w:pPr>
      <w:r w:rsidRPr="00D055CC">
        <w:rPr>
          <w:rFonts w:cs="Times New Roman"/>
          <w:b/>
          <w:sz w:val="32"/>
          <w:szCs w:val="32"/>
        </w:rPr>
        <w:t>for</w:t>
      </w:r>
    </w:p>
    <w:p w14:paraId="64B0699B" w14:textId="77777777" w:rsidR="00B545FD" w:rsidRPr="00D055CC" w:rsidRDefault="00B545FD" w:rsidP="00B545FD">
      <w:pPr>
        <w:jc w:val="center"/>
        <w:rPr>
          <w:rFonts w:cs="Times New Roman"/>
          <w:b/>
          <w:sz w:val="32"/>
          <w:szCs w:val="32"/>
        </w:rPr>
      </w:pPr>
      <w:r w:rsidRPr="00D055CC">
        <w:rPr>
          <w:rFonts w:cs="Times New Roman"/>
          <w:b/>
          <w:sz w:val="32"/>
          <w:szCs w:val="32"/>
        </w:rPr>
        <w:t>Establishing the Global Geochemical Reference Network</w:t>
      </w:r>
    </w:p>
    <w:p w14:paraId="5ED03BD8" w14:textId="77777777" w:rsidR="00B545FD" w:rsidRPr="00D055CC" w:rsidRDefault="00B545FD" w:rsidP="00B545FD">
      <w:pPr>
        <w:rPr>
          <w:rFonts w:cs="Times New Roman"/>
          <w:b/>
          <w:sz w:val="28"/>
          <w:szCs w:val="28"/>
        </w:rPr>
      </w:pPr>
    </w:p>
    <w:p w14:paraId="7594B3D1" w14:textId="77777777" w:rsidR="00B545FD" w:rsidRDefault="00B545FD" w:rsidP="00B545FD">
      <w:pPr>
        <w:rPr>
          <w:rFonts w:cs="Times New Roman"/>
          <w:b/>
          <w:sz w:val="28"/>
          <w:szCs w:val="28"/>
        </w:rPr>
      </w:pPr>
    </w:p>
    <w:p w14:paraId="64C35DC6" w14:textId="77777777" w:rsidR="002F0F6A" w:rsidRDefault="002F0F6A" w:rsidP="00B545FD">
      <w:pPr>
        <w:rPr>
          <w:rFonts w:cs="Times New Roman"/>
          <w:b/>
          <w:sz w:val="28"/>
          <w:szCs w:val="28"/>
        </w:rPr>
      </w:pPr>
    </w:p>
    <w:p w14:paraId="35F150B8" w14:textId="77777777" w:rsidR="002F0F6A" w:rsidRDefault="002F0F6A" w:rsidP="00B545FD">
      <w:pPr>
        <w:rPr>
          <w:rFonts w:cs="Times New Roman"/>
          <w:b/>
          <w:sz w:val="28"/>
          <w:szCs w:val="28"/>
        </w:rPr>
      </w:pPr>
    </w:p>
    <w:p w14:paraId="05B269E1" w14:textId="77777777" w:rsidR="002F0F6A" w:rsidRDefault="002F0F6A" w:rsidP="00B545FD">
      <w:pPr>
        <w:rPr>
          <w:rFonts w:cs="Times New Roman"/>
          <w:b/>
          <w:sz w:val="28"/>
          <w:szCs w:val="28"/>
        </w:rPr>
      </w:pPr>
    </w:p>
    <w:p w14:paraId="678CD2B8" w14:textId="34046F1C" w:rsidR="00B545FD" w:rsidRPr="00D055CC" w:rsidRDefault="00B545FD" w:rsidP="00B545FD">
      <w:pPr>
        <w:jc w:val="center"/>
        <w:rPr>
          <w:rFonts w:cs="Times New Roman"/>
          <w:b/>
          <w:sz w:val="40"/>
          <w:szCs w:val="40"/>
        </w:rPr>
      </w:pPr>
      <w:bookmarkStart w:id="0" w:name="_Hlk97126877"/>
      <w:r w:rsidRPr="00D055CC">
        <w:rPr>
          <w:rFonts w:cs="Times New Roman"/>
          <w:b/>
          <w:sz w:val="40"/>
          <w:szCs w:val="40"/>
        </w:rPr>
        <w:t xml:space="preserve">Chapter </w:t>
      </w:r>
      <w:r w:rsidR="0036693A">
        <w:rPr>
          <w:rFonts w:cs="Times New Roman"/>
          <w:b/>
          <w:sz w:val="40"/>
          <w:szCs w:val="40"/>
        </w:rPr>
        <w:t>8</w:t>
      </w:r>
    </w:p>
    <w:p w14:paraId="207CC020" w14:textId="77777777" w:rsidR="002F0F6A" w:rsidRDefault="002F0F6A" w:rsidP="00B545FD">
      <w:pPr>
        <w:jc w:val="center"/>
        <w:rPr>
          <w:rFonts w:cs="Times New Roman"/>
          <w:b/>
          <w:sz w:val="40"/>
          <w:szCs w:val="40"/>
        </w:rPr>
      </w:pPr>
    </w:p>
    <w:p w14:paraId="6CE358F3" w14:textId="77777777" w:rsidR="004B0069" w:rsidRDefault="00323BD2" w:rsidP="00B545FD">
      <w:pPr>
        <w:jc w:val="center"/>
        <w:rPr>
          <w:rFonts w:cs="Times New Roman"/>
          <w:b/>
          <w:sz w:val="40"/>
          <w:szCs w:val="40"/>
        </w:rPr>
      </w:pPr>
      <w:bookmarkStart w:id="1" w:name="OLE_LINK1"/>
      <w:r>
        <w:rPr>
          <w:rFonts w:cs="Times New Roman"/>
          <w:b/>
          <w:sz w:val="40"/>
          <w:szCs w:val="40"/>
        </w:rPr>
        <w:t>Data Conditioning Methods:</w:t>
      </w:r>
    </w:p>
    <w:p w14:paraId="68D84D7F" w14:textId="77777777" w:rsidR="00323BD2" w:rsidRDefault="00323BD2" w:rsidP="00B545FD">
      <w:pPr>
        <w:jc w:val="center"/>
        <w:rPr>
          <w:rFonts w:cs="Times New Roman"/>
          <w:b/>
          <w:sz w:val="40"/>
          <w:szCs w:val="40"/>
        </w:rPr>
      </w:pPr>
      <w:r>
        <w:rPr>
          <w:rFonts w:cs="Times New Roman"/>
          <w:b/>
          <w:sz w:val="40"/>
          <w:szCs w:val="40"/>
        </w:rPr>
        <w:t>Generating Time Independent Geochemical Data</w:t>
      </w:r>
      <w:bookmarkEnd w:id="1"/>
    </w:p>
    <w:p w14:paraId="4D21FEA4" w14:textId="77777777" w:rsidR="00B545FD" w:rsidRPr="00F4380B" w:rsidRDefault="00B545FD" w:rsidP="00B545FD">
      <w:pPr>
        <w:pStyle w:val="CM1"/>
        <w:rPr>
          <w:bCs/>
        </w:rPr>
      </w:pPr>
    </w:p>
    <w:p w14:paraId="2C32BCEF" w14:textId="77777777" w:rsidR="00B545FD" w:rsidRPr="00F4380B" w:rsidRDefault="00B545FD" w:rsidP="00B545FD">
      <w:pPr>
        <w:pStyle w:val="CM1"/>
        <w:rPr>
          <w:bCs/>
        </w:rPr>
      </w:pPr>
    </w:p>
    <w:p w14:paraId="3186F11F" w14:textId="77777777" w:rsidR="005724B5" w:rsidRDefault="00323BD2" w:rsidP="005724B5">
      <w:pPr>
        <w:pStyle w:val="Default"/>
        <w:jc w:val="center"/>
        <w:rPr>
          <w:bCs/>
          <w:color w:val="auto"/>
        </w:rPr>
      </w:pPr>
      <w:bookmarkStart w:id="2" w:name="OLE_LINK2"/>
      <w:r w:rsidRPr="00323BD2">
        <w:rPr>
          <w:bCs/>
          <w:color w:val="auto"/>
        </w:rPr>
        <w:t>Christopher C. Johnson</w:t>
      </w:r>
      <w:r w:rsidRPr="00323BD2">
        <w:rPr>
          <w:bCs/>
          <w:color w:val="auto"/>
          <w:vertAlign w:val="superscript"/>
        </w:rPr>
        <w:t>1</w:t>
      </w:r>
      <w:r w:rsidRPr="00323BD2">
        <w:rPr>
          <w:bCs/>
          <w:color w:val="auto"/>
        </w:rPr>
        <w:t>, T. Robert Lister</w:t>
      </w:r>
      <w:r w:rsidRPr="00323BD2">
        <w:rPr>
          <w:bCs/>
          <w:color w:val="auto"/>
          <w:vertAlign w:val="superscript"/>
        </w:rPr>
        <w:t>2</w:t>
      </w:r>
    </w:p>
    <w:bookmarkEnd w:id="2"/>
    <w:p w14:paraId="20DCF301" w14:textId="77777777" w:rsidR="00323BD2" w:rsidRPr="00323BD2" w:rsidRDefault="00323BD2" w:rsidP="005724B5">
      <w:pPr>
        <w:pStyle w:val="Default"/>
        <w:jc w:val="center"/>
      </w:pPr>
    </w:p>
    <w:bookmarkEnd w:id="0"/>
    <w:p w14:paraId="57631E71" w14:textId="28FDB508" w:rsidR="00323BD2" w:rsidRPr="00323BD2" w:rsidRDefault="00323BD2" w:rsidP="00323BD2">
      <w:pPr>
        <w:pStyle w:val="Default"/>
        <w:rPr>
          <w:sz w:val="20"/>
          <w:szCs w:val="20"/>
        </w:rPr>
      </w:pPr>
      <w:r w:rsidRPr="00323BD2">
        <w:rPr>
          <w:sz w:val="20"/>
          <w:szCs w:val="20"/>
          <w:vertAlign w:val="superscript"/>
        </w:rPr>
        <w:t>1</w:t>
      </w:r>
      <w:r w:rsidR="00A025AF">
        <w:rPr>
          <w:sz w:val="20"/>
          <w:szCs w:val="20"/>
          <w:vertAlign w:val="superscript"/>
        </w:rPr>
        <w:t xml:space="preserve"> </w:t>
      </w:r>
      <w:proofErr w:type="spellStart"/>
      <w:r w:rsidRPr="00323BD2">
        <w:rPr>
          <w:sz w:val="20"/>
          <w:szCs w:val="20"/>
        </w:rPr>
        <w:t>GeoElementary</w:t>
      </w:r>
      <w:proofErr w:type="spellEnd"/>
      <w:r w:rsidRPr="00323BD2">
        <w:rPr>
          <w:sz w:val="20"/>
          <w:szCs w:val="20"/>
        </w:rPr>
        <w:t>, Derby, United Kingdom</w:t>
      </w:r>
    </w:p>
    <w:p w14:paraId="1093ADEB" w14:textId="2816B492" w:rsidR="00B545FD" w:rsidRPr="00F4380B" w:rsidRDefault="00323BD2" w:rsidP="00323BD2">
      <w:pPr>
        <w:pStyle w:val="Default"/>
      </w:pPr>
      <w:bookmarkStart w:id="3" w:name="OLE_LINK3"/>
      <w:r w:rsidRPr="00323BD2">
        <w:rPr>
          <w:sz w:val="20"/>
          <w:szCs w:val="20"/>
          <w:vertAlign w:val="superscript"/>
        </w:rPr>
        <w:t>2</w:t>
      </w:r>
      <w:r w:rsidR="00A025AF">
        <w:rPr>
          <w:sz w:val="20"/>
          <w:szCs w:val="20"/>
          <w:vertAlign w:val="superscript"/>
        </w:rPr>
        <w:t xml:space="preserve"> </w:t>
      </w:r>
      <w:r w:rsidRPr="00323BD2">
        <w:rPr>
          <w:sz w:val="20"/>
          <w:szCs w:val="20"/>
        </w:rPr>
        <w:t xml:space="preserve">British Geological Survey, </w:t>
      </w:r>
      <w:proofErr w:type="spellStart"/>
      <w:r w:rsidRPr="00323BD2">
        <w:rPr>
          <w:sz w:val="20"/>
          <w:szCs w:val="20"/>
        </w:rPr>
        <w:t>Keyworth</w:t>
      </w:r>
      <w:proofErr w:type="spellEnd"/>
      <w:r w:rsidRPr="00323BD2">
        <w:rPr>
          <w:sz w:val="20"/>
          <w:szCs w:val="20"/>
        </w:rPr>
        <w:t>, Nottingham, United Kingdom</w:t>
      </w:r>
    </w:p>
    <w:bookmarkEnd w:id="3"/>
    <w:p w14:paraId="0C83D42F" w14:textId="77777777" w:rsidR="00B545FD" w:rsidRPr="00F4380B" w:rsidRDefault="00B545FD" w:rsidP="00B545FD">
      <w:pPr>
        <w:pStyle w:val="Default"/>
      </w:pPr>
    </w:p>
    <w:p w14:paraId="386FD150" w14:textId="77777777" w:rsidR="00B545FD" w:rsidRPr="00F4380B" w:rsidRDefault="00B545FD" w:rsidP="00B545FD">
      <w:pPr>
        <w:pStyle w:val="Default"/>
      </w:pPr>
    </w:p>
    <w:p w14:paraId="34BDB36B" w14:textId="77777777" w:rsidR="00B545FD" w:rsidRDefault="00B545FD" w:rsidP="00B545FD">
      <w:pPr>
        <w:pStyle w:val="Default"/>
      </w:pPr>
    </w:p>
    <w:p w14:paraId="6C98E30A" w14:textId="77777777" w:rsidR="00B545FD" w:rsidRDefault="00B545FD" w:rsidP="00B545FD">
      <w:pPr>
        <w:pStyle w:val="Default"/>
      </w:pPr>
    </w:p>
    <w:p w14:paraId="404AE84D" w14:textId="77777777" w:rsidR="00B545FD" w:rsidRDefault="00B545FD" w:rsidP="00B545FD">
      <w:pPr>
        <w:pStyle w:val="Default"/>
      </w:pPr>
    </w:p>
    <w:p w14:paraId="14BE9A95" w14:textId="77777777" w:rsidR="00B545FD" w:rsidRDefault="00B545FD" w:rsidP="00B545FD">
      <w:pPr>
        <w:pStyle w:val="Default"/>
      </w:pPr>
    </w:p>
    <w:p w14:paraId="6F3CF9FA" w14:textId="77777777" w:rsidR="00B545FD" w:rsidRDefault="00B545FD" w:rsidP="00B545FD">
      <w:pPr>
        <w:pStyle w:val="Default"/>
      </w:pPr>
    </w:p>
    <w:p w14:paraId="114EE056" w14:textId="77777777" w:rsidR="00B545FD" w:rsidRDefault="00B545FD" w:rsidP="00B545FD">
      <w:pPr>
        <w:pStyle w:val="Default"/>
      </w:pPr>
    </w:p>
    <w:p w14:paraId="1A01081B" w14:textId="77777777" w:rsidR="00B545FD" w:rsidRDefault="00B545FD" w:rsidP="00B545FD">
      <w:pPr>
        <w:pStyle w:val="Default"/>
      </w:pPr>
    </w:p>
    <w:p w14:paraId="34A0A483" w14:textId="77777777" w:rsidR="00B545FD" w:rsidRDefault="00B545FD" w:rsidP="00B545FD">
      <w:pPr>
        <w:pStyle w:val="Default"/>
      </w:pPr>
    </w:p>
    <w:p w14:paraId="11D411FB" w14:textId="77777777" w:rsidR="00B545FD" w:rsidRDefault="00B545FD" w:rsidP="00B545FD">
      <w:pPr>
        <w:pStyle w:val="Default"/>
      </w:pPr>
    </w:p>
    <w:p w14:paraId="0FC27C3D" w14:textId="77777777" w:rsidR="00B545FD" w:rsidRDefault="00B545FD" w:rsidP="00B545FD">
      <w:pPr>
        <w:pStyle w:val="Default"/>
      </w:pPr>
    </w:p>
    <w:p w14:paraId="3324F086" w14:textId="77777777" w:rsidR="00B545FD" w:rsidRDefault="00B545FD" w:rsidP="00B545FD">
      <w:pPr>
        <w:pStyle w:val="Default"/>
      </w:pPr>
    </w:p>
    <w:p w14:paraId="2B2C1FA5" w14:textId="1C9FCC5C" w:rsidR="00B545FD" w:rsidRPr="0048701D" w:rsidRDefault="0048701D" w:rsidP="0048701D">
      <w:pPr>
        <w:pStyle w:val="Default"/>
        <w:jc w:val="center"/>
        <w:rPr>
          <w:sz w:val="22"/>
          <w:szCs w:val="22"/>
        </w:rPr>
      </w:pPr>
      <w:r w:rsidRPr="0048701D">
        <w:rPr>
          <w:sz w:val="22"/>
          <w:szCs w:val="22"/>
        </w:rPr>
        <w:t>2022</w:t>
      </w:r>
    </w:p>
    <w:p w14:paraId="56C6C40C" w14:textId="6C542317" w:rsidR="00B545FD" w:rsidRPr="0048701D" w:rsidRDefault="0048701D" w:rsidP="0048701D">
      <w:pPr>
        <w:pStyle w:val="Default"/>
        <w:jc w:val="center"/>
        <w:rPr>
          <w:sz w:val="22"/>
          <w:szCs w:val="22"/>
        </w:rPr>
      </w:pPr>
      <w:r w:rsidRPr="0048701D">
        <w:rPr>
          <w:sz w:val="22"/>
          <w:szCs w:val="22"/>
        </w:rPr>
        <w:t>Published by</w:t>
      </w:r>
    </w:p>
    <w:p w14:paraId="5D326D57" w14:textId="4D9D51D6" w:rsidR="00207CF8" w:rsidRPr="0048701D" w:rsidRDefault="0048701D" w:rsidP="00207CF8">
      <w:pPr>
        <w:jc w:val="center"/>
        <w:rPr>
          <w:rFonts w:cs="Times New Roman"/>
          <w:sz w:val="22"/>
        </w:rPr>
      </w:pPr>
      <w:r w:rsidRPr="0048701D">
        <w:rPr>
          <w:rFonts w:cs="Times New Roman"/>
          <w:sz w:val="22"/>
        </w:rPr>
        <w:t xml:space="preserve">The </w:t>
      </w:r>
      <w:r w:rsidR="00207CF8" w:rsidRPr="0048701D">
        <w:rPr>
          <w:rFonts w:cs="Times New Roman"/>
          <w:sz w:val="22"/>
        </w:rPr>
        <w:t>International Union of Geological Sciences</w:t>
      </w:r>
    </w:p>
    <w:p w14:paraId="72999B16" w14:textId="77777777" w:rsidR="00207CF8" w:rsidRPr="003116EA" w:rsidRDefault="00207CF8" w:rsidP="00207CF8">
      <w:pPr>
        <w:jc w:val="center"/>
        <w:rPr>
          <w:rFonts w:cs="Times New Roman"/>
          <w:sz w:val="20"/>
          <w:szCs w:val="20"/>
        </w:rPr>
      </w:pPr>
      <w:r w:rsidRPr="0048701D">
        <w:rPr>
          <w:rFonts w:cs="Times New Roman"/>
          <w:sz w:val="22"/>
        </w:rPr>
        <w:t>Commission on Global Geochemical Baselines</w:t>
      </w:r>
    </w:p>
    <w:p w14:paraId="225BE8A9" w14:textId="77777777" w:rsidR="00B545FD" w:rsidRDefault="00B545FD" w:rsidP="00B545FD">
      <w:pPr>
        <w:pStyle w:val="Default"/>
      </w:pPr>
    </w:p>
    <w:p w14:paraId="3AF96F3D" w14:textId="77777777" w:rsidR="00B545FD" w:rsidRDefault="00B545FD" w:rsidP="00B545FD">
      <w:pPr>
        <w:pStyle w:val="Default"/>
      </w:pPr>
    </w:p>
    <w:p w14:paraId="0E2D5AD1" w14:textId="77777777" w:rsidR="00B545FD" w:rsidRDefault="00B545FD" w:rsidP="00B545FD">
      <w:pPr>
        <w:pStyle w:val="Default"/>
      </w:pPr>
    </w:p>
    <w:p w14:paraId="7D01CDBA" w14:textId="77777777" w:rsidR="00B545FD" w:rsidRDefault="00B545FD" w:rsidP="00B545FD">
      <w:pPr>
        <w:pStyle w:val="Default"/>
      </w:pPr>
    </w:p>
    <w:p w14:paraId="493E558D" w14:textId="77777777" w:rsidR="00B545FD" w:rsidRDefault="00B545FD" w:rsidP="00B545FD">
      <w:pPr>
        <w:pStyle w:val="Default"/>
      </w:pPr>
    </w:p>
    <w:p w14:paraId="7764DB29" w14:textId="77777777" w:rsidR="00B545FD" w:rsidRDefault="00B545FD" w:rsidP="00B545FD">
      <w:pPr>
        <w:pStyle w:val="Default"/>
      </w:pPr>
    </w:p>
    <w:p w14:paraId="7338A509" w14:textId="77777777" w:rsidR="00B545FD" w:rsidRDefault="00B545FD" w:rsidP="00B545FD">
      <w:pPr>
        <w:pStyle w:val="Default"/>
      </w:pPr>
    </w:p>
    <w:p w14:paraId="5F202EE6" w14:textId="77777777" w:rsidR="00B545FD" w:rsidRDefault="00B545FD" w:rsidP="00B545FD">
      <w:pPr>
        <w:pStyle w:val="Default"/>
      </w:pPr>
    </w:p>
    <w:p w14:paraId="70B4054B" w14:textId="77777777" w:rsidR="00B545FD" w:rsidRDefault="00B545FD" w:rsidP="00B545FD">
      <w:pPr>
        <w:pStyle w:val="Default"/>
      </w:pPr>
    </w:p>
    <w:p w14:paraId="453C02FC" w14:textId="77777777" w:rsidR="00B545FD" w:rsidRDefault="00B545FD" w:rsidP="00B545FD">
      <w:pPr>
        <w:pStyle w:val="Default"/>
      </w:pPr>
    </w:p>
    <w:p w14:paraId="2A4B5763" w14:textId="77777777" w:rsidR="00B545FD" w:rsidRDefault="00B545FD" w:rsidP="00B545FD">
      <w:pPr>
        <w:pStyle w:val="Default"/>
      </w:pPr>
    </w:p>
    <w:p w14:paraId="276442A3" w14:textId="77777777" w:rsidR="00B545FD" w:rsidRDefault="00B545FD" w:rsidP="00B545FD">
      <w:pPr>
        <w:pStyle w:val="Default"/>
      </w:pPr>
    </w:p>
    <w:p w14:paraId="4C5D409B" w14:textId="77777777" w:rsidR="00B545FD" w:rsidRDefault="00B545FD" w:rsidP="00B545FD">
      <w:pPr>
        <w:pStyle w:val="Default"/>
      </w:pPr>
    </w:p>
    <w:p w14:paraId="30844889" w14:textId="77777777" w:rsidR="00B545FD" w:rsidRDefault="00B545FD" w:rsidP="00B545FD">
      <w:pPr>
        <w:pStyle w:val="Default"/>
      </w:pPr>
    </w:p>
    <w:p w14:paraId="5DDF7B85" w14:textId="77777777" w:rsidR="00B545FD" w:rsidRDefault="00B545FD" w:rsidP="00B545FD">
      <w:pPr>
        <w:pStyle w:val="Default"/>
      </w:pPr>
    </w:p>
    <w:p w14:paraId="61928FA8" w14:textId="38DEF9C4" w:rsidR="00B545FD" w:rsidRDefault="00B545FD" w:rsidP="00B545FD">
      <w:pPr>
        <w:pStyle w:val="Default"/>
      </w:pPr>
    </w:p>
    <w:p w14:paraId="5D20B59C" w14:textId="77777777" w:rsidR="0063591C" w:rsidRDefault="0063591C" w:rsidP="00B545FD">
      <w:pPr>
        <w:pStyle w:val="Default"/>
      </w:pPr>
    </w:p>
    <w:p w14:paraId="4FC87D8A" w14:textId="77777777" w:rsidR="0063591C" w:rsidRPr="00B00A9A" w:rsidRDefault="0063591C" w:rsidP="0063591C">
      <w:pPr>
        <w:rPr>
          <w:rFonts w:cs="Times New Roman"/>
          <w:sz w:val="22"/>
        </w:rPr>
      </w:pPr>
      <w:r w:rsidRPr="00B00A9A">
        <w:rPr>
          <w:rFonts w:cs="Times New Roman"/>
          <w:sz w:val="22"/>
        </w:rPr>
        <w:t xml:space="preserve">It is recommended that reference to this part of the Manual should be made in the following way: </w:t>
      </w:r>
    </w:p>
    <w:p w14:paraId="5984F04C" w14:textId="77777777" w:rsidR="0063591C" w:rsidRPr="00B00A9A" w:rsidRDefault="0063591C" w:rsidP="0063591C">
      <w:pPr>
        <w:rPr>
          <w:rFonts w:cs="Times New Roman"/>
          <w:sz w:val="22"/>
        </w:rPr>
      </w:pPr>
    </w:p>
    <w:p w14:paraId="5C03734B" w14:textId="552F125A" w:rsidR="0063591C" w:rsidRPr="00B00A9A" w:rsidRDefault="0063591C" w:rsidP="0063591C">
      <w:pPr>
        <w:rPr>
          <w:rFonts w:cs="Times New Roman"/>
          <w:sz w:val="22"/>
        </w:rPr>
      </w:pPr>
      <w:r>
        <w:rPr>
          <w:rFonts w:cs="Times New Roman"/>
          <w:sz w:val="22"/>
        </w:rPr>
        <w:t xml:space="preserve">Johnson, C.C. &amp; Lister, T.R., </w:t>
      </w:r>
      <w:r w:rsidRPr="00B00A9A">
        <w:rPr>
          <w:rFonts w:cs="Times New Roman"/>
          <w:sz w:val="22"/>
        </w:rPr>
        <w:t xml:space="preserve">2022. </w:t>
      </w:r>
      <w:r>
        <w:rPr>
          <w:rFonts w:cs="Times New Roman"/>
          <w:i/>
          <w:iCs/>
          <w:sz w:val="22"/>
        </w:rPr>
        <w:t>Data Conditioning Methods: Generating Time Independent Geochemical Data</w:t>
      </w:r>
      <w:r w:rsidRPr="00B00A9A">
        <w:rPr>
          <w:rFonts w:cs="Times New Roman"/>
          <w:i/>
          <w:iCs/>
          <w:sz w:val="22"/>
        </w:rPr>
        <w:t xml:space="preserve">. </w:t>
      </w:r>
      <w:r w:rsidRPr="00B00A9A">
        <w:rPr>
          <w:rFonts w:cs="Times New Roman"/>
          <w:sz w:val="22"/>
        </w:rPr>
        <w:t xml:space="preserve">Chapter </w:t>
      </w:r>
      <w:r>
        <w:rPr>
          <w:rFonts w:cs="Times New Roman"/>
          <w:sz w:val="22"/>
        </w:rPr>
        <w:t>8</w:t>
      </w:r>
      <w:r w:rsidRPr="00B00A9A">
        <w:rPr>
          <w:rFonts w:cs="Times New Roman"/>
          <w:sz w:val="22"/>
        </w:rPr>
        <w:t xml:space="preserve"> In: Demetriades, A., Johnson, C.C., Smith, D.B., </w:t>
      </w:r>
      <w:proofErr w:type="spellStart"/>
      <w:r w:rsidR="0048701D" w:rsidRPr="0048701D">
        <w:rPr>
          <w:rFonts w:cs="Times New Roman"/>
          <w:sz w:val="22"/>
        </w:rPr>
        <w:t>Ladenberger</w:t>
      </w:r>
      <w:proofErr w:type="spellEnd"/>
      <w:r w:rsidR="0048701D" w:rsidRPr="0048701D">
        <w:rPr>
          <w:rFonts w:cs="Times New Roman"/>
          <w:sz w:val="22"/>
        </w:rPr>
        <w:t xml:space="preserve">, A., </w:t>
      </w:r>
      <w:proofErr w:type="spellStart"/>
      <w:r w:rsidR="00A025AF" w:rsidRPr="00A025AF">
        <w:rPr>
          <w:rFonts w:cs="Times New Roman"/>
          <w:sz w:val="22"/>
        </w:rPr>
        <w:t>Adánez</w:t>
      </w:r>
      <w:proofErr w:type="spellEnd"/>
      <w:r w:rsidR="00A025AF" w:rsidRPr="00A025AF">
        <w:rPr>
          <w:rFonts w:cs="Times New Roman"/>
          <w:sz w:val="22"/>
        </w:rPr>
        <w:t xml:space="preserve"> </w:t>
      </w:r>
      <w:proofErr w:type="spellStart"/>
      <w:r w:rsidR="0048701D" w:rsidRPr="0048701D">
        <w:rPr>
          <w:rFonts w:cs="Times New Roman"/>
          <w:sz w:val="22"/>
        </w:rPr>
        <w:t>Sanjuan</w:t>
      </w:r>
      <w:proofErr w:type="spellEnd"/>
      <w:r w:rsidR="0048701D" w:rsidRPr="0048701D">
        <w:rPr>
          <w:rFonts w:cs="Times New Roman"/>
          <w:sz w:val="22"/>
        </w:rPr>
        <w:t xml:space="preserve">, P., </w:t>
      </w:r>
      <w:proofErr w:type="spellStart"/>
      <w:r w:rsidR="0048701D" w:rsidRPr="0048701D">
        <w:rPr>
          <w:rFonts w:cs="Times New Roman"/>
          <w:sz w:val="22"/>
        </w:rPr>
        <w:t>Argyraki</w:t>
      </w:r>
      <w:proofErr w:type="spellEnd"/>
      <w:r w:rsidR="0048701D" w:rsidRPr="0048701D">
        <w:rPr>
          <w:rFonts w:cs="Times New Roman"/>
          <w:sz w:val="22"/>
        </w:rPr>
        <w:t xml:space="preserve">, A., </w:t>
      </w:r>
      <w:proofErr w:type="spellStart"/>
      <w:r w:rsidR="0048701D" w:rsidRPr="0048701D">
        <w:rPr>
          <w:rFonts w:cs="Times New Roman"/>
          <w:sz w:val="22"/>
        </w:rPr>
        <w:t>Stouraiti</w:t>
      </w:r>
      <w:proofErr w:type="spellEnd"/>
      <w:r w:rsidR="0048701D" w:rsidRPr="0048701D">
        <w:rPr>
          <w:rFonts w:cs="Times New Roman"/>
          <w:sz w:val="22"/>
        </w:rPr>
        <w:t xml:space="preserve">, C., </w:t>
      </w:r>
      <w:proofErr w:type="spellStart"/>
      <w:r w:rsidR="0048701D" w:rsidRPr="0048701D">
        <w:rPr>
          <w:rFonts w:cs="Times New Roman"/>
          <w:sz w:val="22"/>
        </w:rPr>
        <w:t>Caritat</w:t>
      </w:r>
      <w:proofErr w:type="spellEnd"/>
      <w:r w:rsidR="0048701D" w:rsidRPr="0048701D">
        <w:rPr>
          <w:rFonts w:cs="Times New Roman"/>
          <w:sz w:val="22"/>
        </w:rPr>
        <w:t xml:space="preserve">, P. de, Knights, K.V., Prieto </w:t>
      </w:r>
      <w:proofErr w:type="spellStart"/>
      <w:r w:rsidR="0048701D" w:rsidRPr="0048701D">
        <w:rPr>
          <w:rFonts w:cs="Times New Roman"/>
          <w:sz w:val="22"/>
        </w:rPr>
        <w:t>Rincón</w:t>
      </w:r>
      <w:proofErr w:type="spellEnd"/>
      <w:r w:rsidR="0048701D" w:rsidRPr="0048701D">
        <w:rPr>
          <w:rFonts w:cs="Times New Roman"/>
          <w:sz w:val="22"/>
        </w:rPr>
        <w:t xml:space="preserve">, G. &amp; </w:t>
      </w:r>
      <w:proofErr w:type="spellStart"/>
      <w:r w:rsidR="0048701D" w:rsidRPr="0048701D">
        <w:rPr>
          <w:rFonts w:cs="Times New Roman"/>
          <w:sz w:val="22"/>
        </w:rPr>
        <w:t>Simubali</w:t>
      </w:r>
      <w:proofErr w:type="spellEnd"/>
      <w:r w:rsidR="0048701D" w:rsidRPr="0048701D">
        <w:rPr>
          <w:rFonts w:cs="Times New Roman"/>
          <w:sz w:val="22"/>
        </w:rPr>
        <w:t>, G.N.</w:t>
      </w:r>
      <w:r w:rsidRPr="00B00A9A">
        <w:rPr>
          <w:rFonts w:cs="Times New Roman"/>
          <w:sz w:val="22"/>
        </w:rPr>
        <w:t xml:space="preserve"> (Editors), International Union of Geological Sciences Manual of Standard Methods for Establishing the Global Geochemical Reference Network. IUGS Commission on Global Geochemical Baselines, Athens, Hellas, Special Publication, </w:t>
      </w:r>
      <w:r w:rsidRPr="00B00A9A">
        <w:rPr>
          <w:rFonts w:cs="Times New Roman"/>
          <w:b/>
          <w:bCs/>
          <w:sz w:val="22"/>
        </w:rPr>
        <w:t>2</w:t>
      </w:r>
      <w:r w:rsidRPr="00B00A9A">
        <w:rPr>
          <w:rFonts w:cs="Times New Roman"/>
          <w:sz w:val="22"/>
        </w:rPr>
        <w:t xml:space="preserve">, </w:t>
      </w:r>
      <w:r>
        <w:rPr>
          <w:rFonts w:cs="Times New Roman"/>
          <w:sz w:val="22"/>
        </w:rPr>
        <w:t>4</w:t>
      </w:r>
      <w:r w:rsidR="00EE72A5">
        <w:rPr>
          <w:rFonts w:cs="Times New Roman"/>
          <w:sz w:val="22"/>
        </w:rPr>
        <w:t>29</w:t>
      </w:r>
      <w:r w:rsidRPr="00B00A9A">
        <w:rPr>
          <w:rFonts w:cs="Times New Roman"/>
          <w:sz w:val="22"/>
        </w:rPr>
        <w:t>−</w:t>
      </w:r>
      <w:r>
        <w:rPr>
          <w:rFonts w:cs="Times New Roman"/>
          <w:sz w:val="22"/>
        </w:rPr>
        <w:t>4</w:t>
      </w:r>
      <w:r w:rsidR="00EE72A5">
        <w:rPr>
          <w:rFonts w:cs="Times New Roman"/>
          <w:sz w:val="22"/>
        </w:rPr>
        <w:t>56</w:t>
      </w:r>
      <w:r w:rsidRPr="00B00A9A">
        <w:rPr>
          <w:rFonts w:cs="Times New Roman"/>
          <w:sz w:val="22"/>
        </w:rPr>
        <w:t>.</w:t>
      </w:r>
    </w:p>
    <w:p w14:paraId="0B6ADC5E" w14:textId="77777777" w:rsidR="0063591C" w:rsidRPr="00B00A9A" w:rsidRDefault="0063591C" w:rsidP="0063591C">
      <w:pPr>
        <w:rPr>
          <w:rFonts w:cs="Times New Roman"/>
          <w:sz w:val="22"/>
        </w:rPr>
      </w:pPr>
    </w:p>
    <w:p w14:paraId="1D94A6A4" w14:textId="77777777" w:rsidR="0063591C" w:rsidRPr="00B00A9A" w:rsidRDefault="0063591C" w:rsidP="0063591C">
      <w:pPr>
        <w:rPr>
          <w:rFonts w:cs="Times New Roman"/>
          <w:sz w:val="22"/>
        </w:rPr>
      </w:pPr>
    </w:p>
    <w:p w14:paraId="6AC9A6A9" w14:textId="77777777" w:rsidR="0063591C" w:rsidRPr="00B00A9A" w:rsidRDefault="0063591C" w:rsidP="0063591C">
      <w:pPr>
        <w:rPr>
          <w:rFonts w:cs="Times New Roman"/>
          <w:sz w:val="22"/>
        </w:rPr>
      </w:pPr>
    </w:p>
    <w:p w14:paraId="550B8D5E" w14:textId="77777777" w:rsidR="0063591C" w:rsidRPr="00B00A9A" w:rsidRDefault="0063591C" w:rsidP="0063591C">
      <w:pPr>
        <w:rPr>
          <w:rFonts w:cs="Times New Roman"/>
          <w:sz w:val="22"/>
        </w:rPr>
      </w:pPr>
    </w:p>
    <w:p w14:paraId="373B1F3F" w14:textId="77777777" w:rsidR="0063591C" w:rsidRPr="00B00A9A" w:rsidRDefault="0063591C" w:rsidP="0063591C">
      <w:pPr>
        <w:rPr>
          <w:rFonts w:cs="Times New Roman"/>
          <w:sz w:val="22"/>
        </w:rPr>
      </w:pPr>
    </w:p>
    <w:p w14:paraId="722A9464" w14:textId="77777777" w:rsidR="0063591C" w:rsidRPr="00B00A9A" w:rsidRDefault="0063591C" w:rsidP="0063591C">
      <w:pPr>
        <w:rPr>
          <w:rFonts w:cs="Times New Roman"/>
          <w:sz w:val="22"/>
        </w:rPr>
      </w:pPr>
    </w:p>
    <w:p w14:paraId="668BBEBB" w14:textId="77777777" w:rsidR="0063591C" w:rsidRPr="00B00A9A" w:rsidRDefault="0063591C" w:rsidP="0063591C">
      <w:pPr>
        <w:rPr>
          <w:rFonts w:cs="Times New Roman"/>
          <w:sz w:val="22"/>
        </w:rPr>
      </w:pPr>
    </w:p>
    <w:p w14:paraId="1A20F642" w14:textId="77777777" w:rsidR="0063591C" w:rsidRPr="00B00A9A" w:rsidRDefault="0063591C" w:rsidP="0063591C">
      <w:pPr>
        <w:rPr>
          <w:rFonts w:cs="Times New Roman"/>
          <w:sz w:val="22"/>
        </w:rPr>
      </w:pPr>
    </w:p>
    <w:p w14:paraId="2941CACF" w14:textId="77777777" w:rsidR="0048701D" w:rsidRPr="00795D4E" w:rsidRDefault="0063591C" w:rsidP="0063591C">
      <w:pPr>
        <w:rPr>
          <w:rFonts w:cs="Times New Roman"/>
          <w:szCs w:val="24"/>
        </w:rPr>
      </w:pPr>
      <w:r w:rsidRPr="00795D4E">
        <w:rPr>
          <w:rFonts w:cs="Times New Roman"/>
          <w:szCs w:val="24"/>
        </w:rPr>
        <w:t>Published by</w:t>
      </w:r>
    </w:p>
    <w:p w14:paraId="0F9E8466" w14:textId="4DB34EDA" w:rsidR="0063591C" w:rsidRPr="00795D4E" w:rsidRDefault="0048701D" w:rsidP="0063591C">
      <w:pPr>
        <w:rPr>
          <w:rFonts w:cs="Times New Roman"/>
          <w:szCs w:val="24"/>
        </w:rPr>
      </w:pPr>
      <w:r w:rsidRPr="00795D4E">
        <w:rPr>
          <w:rFonts w:cs="Times New Roman"/>
          <w:szCs w:val="24"/>
        </w:rPr>
        <w:t>T</w:t>
      </w:r>
      <w:r w:rsidR="0063591C" w:rsidRPr="00795D4E">
        <w:rPr>
          <w:rFonts w:cs="Times New Roman"/>
          <w:szCs w:val="24"/>
        </w:rPr>
        <w:t>he International Union of Geological Sciences</w:t>
      </w:r>
    </w:p>
    <w:p w14:paraId="4F49FE9E" w14:textId="72E4D26A" w:rsidR="0063591C" w:rsidRPr="00795D4E" w:rsidRDefault="0063591C" w:rsidP="0063591C">
      <w:pPr>
        <w:rPr>
          <w:rFonts w:cs="Times New Roman"/>
          <w:szCs w:val="24"/>
        </w:rPr>
      </w:pPr>
      <w:r w:rsidRPr="00795D4E">
        <w:rPr>
          <w:rFonts w:cs="Times New Roman"/>
          <w:szCs w:val="24"/>
        </w:rPr>
        <w:t>Commission on Global Geochemical Baselines</w:t>
      </w:r>
    </w:p>
    <w:p w14:paraId="64B9CAC3" w14:textId="4F6928D0" w:rsidR="0063591C" w:rsidRPr="00795D4E" w:rsidRDefault="0063591C" w:rsidP="0063591C">
      <w:pPr>
        <w:rPr>
          <w:rFonts w:cs="Times New Roman"/>
          <w:szCs w:val="24"/>
        </w:rPr>
      </w:pPr>
      <w:r w:rsidRPr="00795D4E">
        <w:rPr>
          <w:rFonts w:cs="Times New Roman"/>
          <w:szCs w:val="24"/>
        </w:rPr>
        <w:t xml:space="preserve">P.O. Box 640 37, </w:t>
      </w:r>
      <w:proofErr w:type="spellStart"/>
      <w:r w:rsidRPr="00795D4E">
        <w:rPr>
          <w:rFonts w:cs="Times New Roman"/>
          <w:szCs w:val="24"/>
        </w:rPr>
        <w:t>Zografou</w:t>
      </w:r>
      <w:proofErr w:type="spellEnd"/>
    </w:p>
    <w:p w14:paraId="46A4931A" w14:textId="104F9A98" w:rsidR="0063591C" w:rsidRPr="00795D4E" w:rsidRDefault="0063591C" w:rsidP="0063591C">
      <w:pPr>
        <w:rPr>
          <w:rFonts w:cs="Times New Roman"/>
          <w:szCs w:val="24"/>
        </w:rPr>
      </w:pPr>
      <w:r w:rsidRPr="00795D4E">
        <w:rPr>
          <w:rFonts w:cs="Times New Roman"/>
          <w:szCs w:val="24"/>
        </w:rPr>
        <w:t>GR-157 10 Athens</w:t>
      </w:r>
    </w:p>
    <w:p w14:paraId="32AC1461" w14:textId="02B77059" w:rsidR="0063591C" w:rsidRPr="00795D4E" w:rsidRDefault="0063591C" w:rsidP="0063591C">
      <w:pPr>
        <w:rPr>
          <w:rFonts w:cs="Times New Roman"/>
          <w:szCs w:val="24"/>
        </w:rPr>
      </w:pPr>
      <w:r w:rsidRPr="00795D4E">
        <w:rPr>
          <w:rFonts w:cs="Times New Roman"/>
          <w:szCs w:val="24"/>
        </w:rPr>
        <w:t>Hell</w:t>
      </w:r>
      <w:r w:rsidR="0048701D" w:rsidRPr="00795D4E">
        <w:rPr>
          <w:rFonts w:cs="Times New Roman"/>
          <w:szCs w:val="24"/>
        </w:rPr>
        <w:t>enic Republic</w:t>
      </w:r>
    </w:p>
    <w:p w14:paraId="0E968F1B" w14:textId="0C73705E" w:rsidR="0063591C" w:rsidRPr="00795D4E" w:rsidRDefault="00000000" w:rsidP="0063591C">
      <w:pPr>
        <w:rPr>
          <w:rFonts w:cs="Times New Roman"/>
          <w:szCs w:val="24"/>
        </w:rPr>
      </w:pPr>
      <w:hyperlink r:id="rId11" w:history="1">
        <w:r w:rsidR="0048701D" w:rsidRPr="00795D4E">
          <w:rPr>
            <w:rStyle w:val="Hyperlink"/>
            <w:rFonts w:cs="Times New Roman"/>
            <w:szCs w:val="24"/>
          </w:rPr>
          <w:t>http://www.iugs.org/</w:t>
        </w:r>
      </w:hyperlink>
      <w:r w:rsidR="0048701D" w:rsidRPr="00795D4E">
        <w:rPr>
          <w:rFonts w:cs="Times New Roman"/>
          <w:szCs w:val="24"/>
        </w:rPr>
        <w:t xml:space="preserve"> </w:t>
      </w:r>
      <w:r w:rsidR="0063591C" w:rsidRPr="00795D4E">
        <w:rPr>
          <w:rFonts w:cs="Times New Roman"/>
          <w:szCs w:val="24"/>
        </w:rPr>
        <w:t xml:space="preserve"> </w:t>
      </w:r>
    </w:p>
    <w:p w14:paraId="40FCA552" w14:textId="57ABF471" w:rsidR="0063591C" w:rsidRPr="00795D4E" w:rsidRDefault="00000000" w:rsidP="0063591C">
      <w:pPr>
        <w:rPr>
          <w:rFonts w:cs="Times New Roman"/>
          <w:szCs w:val="24"/>
        </w:rPr>
      </w:pPr>
      <w:hyperlink r:id="rId12" w:history="1">
        <w:r w:rsidR="0048701D" w:rsidRPr="00795D4E">
          <w:rPr>
            <w:rStyle w:val="Hyperlink"/>
            <w:rFonts w:cs="Times New Roman"/>
            <w:szCs w:val="24"/>
          </w:rPr>
          <w:t>http://www.globalgeochemicalbaselines.eu/</w:t>
        </w:r>
      </w:hyperlink>
      <w:r w:rsidR="0048701D" w:rsidRPr="00795D4E">
        <w:rPr>
          <w:rFonts w:cs="Times New Roman"/>
          <w:szCs w:val="24"/>
        </w:rPr>
        <w:t xml:space="preserve"> </w:t>
      </w:r>
    </w:p>
    <w:p w14:paraId="375F2291" w14:textId="77777777" w:rsidR="0063591C" w:rsidRPr="00795D4E" w:rsidRDefault="0063591C" w:rsidP="0063591C">
      <w:pPr>
        <w:rPr>
          <w:rFonts w:cs="Times New Roman"/>
          <w:szCs w:val="24"/>
        </w:rPr>
      </w:pPr>
    </w:p>
    <w:p w14:paraId="57BDDE1B" w14:textId="3D53A0AE" w:rsidR="0063591C" w:rsidRPr="00795D4E" w:rsidRDefault="0063591C" w:rsidP="0063591C">
      <w:pPr>
        <w:rPr>
          <w:rFonts w:cs="Times New Roman"/>
          <w:b/>
          <w:bCs/>
          <w:szCs w:val="24"/>
        </w:rPr>
      </w:pPr>
      <w:r w:rsidRPr="00795D4E">
        <w:rPr>
          <w:rFonts w:cs="Times New Roman"/>
          <w:b/>
          <w:bCs/>
          <w:szCs w:val="24"/>
        </w:rPr>
        <w:t>National Library of Greece Cataloguing in Publication Data</w:t>
      </w:r>
    </w:p>
    <w:p w14:paraId="29FE8BF3" w14:textId="77777777" w:rsidR="0063591C" w:rsidRPr="00795D4E" w:rsidRDefault="0063591C" w:rsidP="0063591C">
      <w:pPr>
        <w:rPr>
          <w:rFonts w:cs="Times New Roman"/>
          <w:szCs w:val="24"/>
        </w:rPr>
      </w:pPr>
      <w:r w:rsidRPr="00795D4E">
        <w:rPr>
          <w:rFonts w:cs="Times New Roman"/>
          <w:szCs w:val="24"/>
        </w:rPr>
        <w:t>A catalogue record for this electronic book is available from the</w:t>
      </w:r>
    </w:p>
    <w:p w14:paraId="254BB076" w14:textId="4C47FD64" w:rsidR="0063591C" w:rsidRPr="00795D4E" w:rsidRDefault="0063591C" w:rsidP="0063591C">
      <w:pPr>
        <w:rPr>
          <w:rFonts w:cs="Times New Roman"/>
          <w:szCs w:val="24"/>
        </w:rPr>
      </w:pPr>
      <w:r w:rsidRPr="00795D4E">
        <w:rPr>
          <w:rFonts w:cs="Times New Roman"/>
          <w:szCs w:val="24"/>
        </w:rPr>
        <w:t>National Library of Greece</w:t>
      </w:r>
    </w:p>
    <w:p w14:paraId="63BD67C5" w14:textId="77777777" w:rsidR="0063591C" w:rsidRPr="00B00A9A" w:rsidRDefault="0063591C" w:rsidP="0063591C">
      <w:pPr>
        <w:rPr>
          <w:rFonts w:cs="Times New Roman"/>
          <w:sz w:val="22"/>
        </w:rPr>
      </w:pPr>
    </w:p>
    <w:p w14:paraId="4A1A7AA6" w14:textId="77777777" w:rsidR="00A1370F" w:rsidRPr="00795D4E" w:rsidRDefault="00A1370F" w:rsidP="00A1370F">
      <w:pPr>
        <w:rPr>
          <w:rFonts w:cs="Times New Roman"/>
          <w:color w:val="000000"/>
          <w:kern w:val="24"/>
          <w:szCs w:val="24"/>
        </w:rPr>
      </w:pPr>
      <w:r w:rsidRPr="00795D4E">
        <w:rPr>
          <w:rFonts w:cs="Times New Roman"/>
          <w:color w:val="000000"/>
          <w:kern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A1370F" w14:paraId="0A1EBAD5" w14:textId="77777777" w:rsidTr="00DC4268">
        <w:tc>
          <w:tcPr>
            <w:tcW w:w="2268" w:type="dxa"/>
          </w:tcPr>
          <w:p w14:paraId="74E01488" w14:textId="77777777" w:rsidR="00A1370F" w:rsidRDefault="00A1370F" w:rsidP="00DC4268">
            <w:r w:rsidRPr="00D8715F">
              <w:rPr>
                <w:noProof/>
              </w:rPr>
              <w:drawing>
                <wp:inline distT="0" distB="0" distL="0" distR="0" wp14:anchorId="022C2905" wp14:editId="732E452F">
                  <wp:extent cx="1143000" cy="1076325"/>
                  <wp:effectExtent l="0" t="0" r="0" b="9525"/>
                  <wp:docPr id="34" name="Picture 34"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ackground pattern&#10;&#10;Description automatically generated with low confidence"/>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143000" cy="1076325"/>
                          </a:xfrm>
                          <a:prstGeom prst="rect">
                            <a:avLst/>
                          </a:prstGeom>
                          <a:noFill/>
                          <a:ln>
                            <a:noFill/>
                          </a:ln>
                        </pic:spPr>
                      </pic:pic>
                    </a:graphicData>
                  </a:graphic>
                </wp:inline>
              </w:drawing>
            </w:r>
          </w:p>
        </w:tc>
        <w:tc>
          <w:tcPr>
            <w:tcW w:w="7077" w:type="dxa"/>
          </w:tcPr>
          <w:p w14:paraId="5380AAA1" w14:textId="77777777" w:rsidR="00A1370F" w:rsidRDefault="00A1370F" w:rsidP="00DC4268"/>
        </w:tc>
      </w:tr>
    </w:tbl>
    <w:p w14:paraId="57F236C6" w14:textId="77777777" w:rsidR="00A1370F" w:rsidRDefault="00A1370F" w:rsidP="00A1370F"/>
    <w:sdt>
      <w:sdtPr>
        <w:rPr>
          <w:rFonts w:ascii="Times New Roman" w:eastAsia="Calibri" w:hAnsi="Times New Roman" w:cs="Arial"/>
          <w:color w:val="auto"/>
          <w:sz w:val="24"/>
          <w:szCs w:val="22"/>
          <w:lang w:val="en-GB"/>
        </w:rPr>
        <w:id w:val="1229735464"/>
        <w:docPartObj>
          <w:docPartGallery w:val="Table of Contents"/>
          <w:docPartUnique/>
        </w:docPartObj>
      </w:sdtPr>
      <w:sdtEndPr>
        <w:rPr>
          <w:b/>
          <w:bCs/>
          <w:noProof/>
        </w:rPr>
      </w:sdtEndPr>
      <w:sdtContent>
        <w:p w14:paraId="1D78E333" w14:textId="069980CA" w:rsidR="00680CE1" w:rsidRPr="00680CE1" w:rsidRDefault="00680CE1" w:rsidP="00EE72A5">
          <w:pPr>
            <w:pStyle w:val="TOCHeading"/>
          </w:pPr>
          <w:r w:rsidRPr="00680CE1">
            <w:rPr>
              <w:rFonts w:ascii="Times New Roman" w:hAnsi="Times New Roman"/>
              <w:color w:val="auto"/>
            </w:rPr>
            <w:t>Contents</w:t>
          </w:r>
        </w:p>
        <w:p w14:paraId="568ECEDF" w14:textId="77777777" w:rsidR="00EE72A5" w:rsidRDefault="00EE72A5" w:rsidP="00EE72A5">
          <w:pPr>
            <w:pStyle w:val="TOC2"/>
          </w:pPr>
        </w:p>
        <w:p w14:paraId="264ABE56" w14:textId="4A57F05E" w:rsidR="00A1370F" w:rsidRPr="00A1370F" w:rsidRDefault="00680CE1" w:rsidP="00A1370F">
          <w:pPr>
            <w:pStyle w:val="TOC2"/>
            <w:rPr>
              <w:rFonts w:asciiTheme="minorHAnsi" w:eastAsiaTheme="minorEastAsia" w:hAnsiTheme="minorHAnsi" w:cstheme="minorBidi"/>
              <w:noProof/>
              <w:sz w:val="22"/>
              <w:lang w:eastAsia="en-GB"/>
            </w:rPr>
          </w:pPr>
          <w:r>
            <w:fldChar w:fldCharType="begin"/>
          </w:r>
          <w:r>
            <w:instrText xml:space="preserve"> TOC \o "1-4" \h \z \u </w:instrText>
          </w:r>
          <w:r>
            <w:fldChar w:fldCharType="separate"/>
          </w:r>
          <w:hyperlink w:anchor="_Toc106354223" w:history="1">
            <w:r w:rsidR="00A1370F" w:rsidRPr="00A1370F">
              <w:rPr>
                <w:rStyle w:val="Hyperlink"/>
                <w:noProof/>
                <w:sz w:val="22"/>
              </w:rPr>
              <w:t>8.1. Introduction</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_Toc106354223 \h </w:instrText>
            </w:r>
            <w:r w:rsidR="00A1370F" w:rsidRPr="00A1370F">
              <w:rPr>
                <w:noProof/>
                <w:webHidden/>
                <w:sz w:val="22"/>
              </w:rPr>
            </w:r>
            <w:r w:rsidR="00A1370F" w:rsidRPr="00A1370F">
              <w:rPr>
                <w:noProof/>
                <w:webHidden/>
                <w:sz w:val="22"/>
              </w:rPr>
              <w:fldChar w:fldCharType="separate"/>
            </w:r>
            <w:r w:rsidR="0009653D">
              <w:rPr>
                <w:noProof/>
                <w:webHidden/>
                <w:sz w:val="22"/>
              </w:rPr>
              <w:t>433</w:t>
            </w:r>
            <w:r w:rsidR="00A1370F" w:rsidRPr="00A1370F">
              <w:rPr>
                <w:noProof/>
                <w:webHidden/>
                <w:sz w:val="22"/>
              </w:rPr>
              <w:fldChar w:fldCharType="end"/>
            </w:r>
          </w:hyperlink>
        </w:p>
        <w:p w14:paraId="1C74BDC4" w14:textId="6C19D590" w:rsidR="00A1370F" w:rsidRPr="00A1370F" w:rsidRDefault="00000000" w:rsidP="00A1370F">
          <w:pPr>
            <w:pStyle w:val="TOC2"/>
            <w:rPr>
              <w:rFonts w:asciiTheme="minorHAnsi" w:eastAsiaTheme="minorEastAsia" w:hAnsiTheme="minorHAnsi" w:cstheme="minorBidi"/>
              <w:noProof/>
              <w:sz w:val="22"/>
              <w:lang w:eastAsia="en-GB"/>
            </w:rPr>
          </w:pPr>
          <w:hyperlink w:anchor="_Toc106354224" w:history="1">
            <w:r w:rsidR="00A1370F" w:rsidRPr="00A1370F">
              <w:rPr>
                <w:rStyle w:val="Hyperlink"/>
                <w:noProof/>
                <w:sz w:val="22"/>
              </w:rPr>
              <w:t>8.2. Data levelling</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_Toc106354224 \h </w:instrText>
            </w:r>
            <w:r w:rsidR="00A1370F" w:rsidRPr="00A1370F">
              <w:rPr>
                <w:noProof/>
                <w:webHidden/>
                <w:sz w:val="22"/>
              </w:rPr>
            </w:r>
            <w:r w:rsidR="00A1370F" w:rsidRPr="00A1370F">
              <w:rPr>
                <w:noProof/>
                <w:webHidden/>
                <w:sz w:val="22"/>
              </w:rPr>
              <w:fldChar w:fldCharType="separate"/>
            </w:r>
            <w:r w:rsidR="0009653D">
              <w:rPr>
                <w:noProof/>
                <w:webHidden/>
                <w:sz w:val="22"/>
              </w:rPr>
              <w:t>434</w:t>
            </w:r>
            <w:r w:rsidR="00A1370F" w:rsidRPr="00A1370F">
              <w:rPr>
                <w:noProof/>
                <w:webHidden/>
                <w:sz w:val="22"/>
              </w:rPr>
              <w:fldChar w:fldCharType="end"/>
            </w:r>
          </w:hyperlink>
        </w:p>
        <w:p w14:paraId="45A0B77C" w14:textId="75FAFD14" w:rsidR="00A1370F" w:rsidRPr="00A1370F" w:rsidRDefault="00000000" w:rsidP="00A1370F">
          <w:pPr>
            <w:pStyle w:val="TOC3"/>
            <w:rPr>
              <w:rFonts w:asciiTheme="minorHAnsi" w:eastAsiaTheme="minorEastAsia" w:hAnsiTheme="minorHAnsi" w:cstheme="minorBidi"/>
              <w:noProof/>
              <w:sz w:val="22"/>
              <w:lang w:eastAsia="en-GB"/>
            </w:rPr>
          </w:pPr>
          <w:hyperlink w:anchor="_Toc106354225" w:history="1">
            <w:r w:rsidR="00A1370F" w:rsidRPr="00A1370F">
              <w:rPr>
                <w:rStyle w:val="Hyperlink"/>
                <w:noProof/>
                <w:sz w:val="22"/>
              </w:rPr>
              <w:t>8.2.1. Preparation of geochemical data prior to testing whether levelling is required</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_Toc106354225 \h </w:instrText>
            </w:r>
            <w:r w:rsidR="00A1370F" w:rsidRPr="00A1370F">
              <w:rPr>
                <w:noProof/>
                <w:webHidden/>
                <w:sz w:val="22"/>
              </w:rPr>
            </w:r>
            <w:r w:rsidR="00A1370F" w:rsidRPr="00A1370F">
              <w:rPr>
                <w:noProof/>
                <w:webHidden/>
                <w:sz w:val="22"/>
              </w:rPr>
              <w:fldChar w:fldCharType="separate"/>
            </w:r>
            <w:r w:rsidR="0009653D">
              <w:rPr>
                <w:noProof/>
                <w:webHidden/>
                <w:sz w:val="22"/>
              </w:rPr>
              <w:t>434</w:t>
            </w:r>
            <w:r w:rsidR="00A1370F" w:rsidRPr="00A1370F">
              <w:rPr>
                <w:noProof/>
                <w:webHidden/>
                <w:sz w:val="22"/>
              </w:rPr>
              <w:fldChar w:fldCharType="end"/>
            </w:r>
          </w:hyperlink>
        </w:p>
        <w:p w14:paraId="41ABDB20" w14:textId="01CD337B" w:rsidR="00A1370F" w:rsidRPr="00A1370F" w:rsidRDefault="00000000" w:rsidP="00A1370F">
          <w:pPr>
            <w:pStyle w:val="TOC3"/>
            <w:rPr>
              <w:rFonts w:asciiTheme="minorHAnsi" w:eastAsiaTheme="minorEastAsia" w:hAnsiTheme="minorHAnsi" w:cstheme="minorBidi"/>
              <w:noProof/>
              <w:sz w:val="22"/>
              <w:lang w:eastAsia="en-GB"/>
            </w:rPr>
          </w:pPr>
          <w:hyperlink w:anchor="_Toc106354226" w:history="1">
            <w:r w:rsidR="00A1370F" w:rsidRPr="00A1370F">
              <w:rPr>
                <w:rStyle w:val="Hyperlink"/>
                <w:noProof/>
                <w:sz w:val="22"/>
              </w:rPr>
              <w:t>8.2.2. Testing to see whether an analytical batch requires levelling</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_Toc106354226 \h </w:instrText>
            </w:r>
            <w:r w:rsidR="00A1370F" w:rsidRPr="00A1370F">
              <w:rPr>
                <w:noProof/>
                <w:webHidden/>
                <w:sz w:val="22"/>
              </w:rPr>
            </w:r>
            <w:r w:rsidR="00A1370F" w:rsidRPr="00A1370F">
              <w:rPr>
                <w:noProof/>
                <w:webHidden/>
                <w:sz w:val="22"/>
              </w:rPr>
              <w:fldChar w:fldCharType="separate"/>
            </w:r>
            <w:r w:rsidR="0009653D">
              <w:rPr>
                <w:noProof/>
                <w:webHidden/>
                <w:sz w:val="22"/>
              </w:rPr>
              <w:t>435</w:t>
            </w:r>
            <w:r w:rsidR="00A1370F" w:rsidRPr="00A1370F">
              <w:rPr>
                <w:noProof/>
                <w:webHidden/>
                <w:sz w:val="22"/>
              </w:rPr>
              <w:fldChar w:fldCharType="end"/>
            </w:r>
          </w:hyperlink>
        </w:p>
        <w:p w14:paraId="7902349C" w14:textId="08B40CC6" w:rsidR="00A1370F" w:rsidRPr="00A1370F" w:rsidRDefault="00000000" w:rsidP="00A1370F">
          <w:pPr>
            <w:pStyle w:val="TOC4"/>
            <w:tabs>
              <w:tab w:val="right" w:leader="dot" w:pos="9345"/>
            </w:tabs>
            <w:spacing w:after="0"/>
            <w:rPr>
              <w:rFonts w:asciiTheme="minorHAnsi" w:eastAsiaTheme="minorEastAsia" w:hAnsiTheme="minorHAnsi" w:cstheme="minorBidi"/>
              <w:noProof/>
              <w:sz w:val="22"/>
              <w:lang w:eastAsia="en-GB"/>
            </w:rPr>
          </w:pPr>
          <w:hyperlink w:anchor="_Toc106354227" w:history="1">
            <w:r w:rsidR="00A1370F" w:rsidRPr="00A1370F">
              <w:rPr>
                <w:rStyle w:val="Hyperlink"/>
                <w:noProof/>
                <w:sz w:val="22"/>
              </w:rPr>
              <w:t>8.2.2.1. Parametric levelling</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_Toc106354227 \h </w:instrText>
            </w:r>
            <w:r w:rsidR="00A1370F" w:rsidRPr="00A1370F">
              <w:rPr>
                <w:noProof/>
                <w:webHidden/>
                <w:sz w:val="22"/>
              </w:rPr>
            </w:r>
            <w:r w:rsidR="00A1370F" w:rsidRPr="00A1370F">
              <w:rPr>
                <w:noProof/>
                <w:webHidden/>
                <w:sz w:val="22"/>
              </w:rPr>
              <w:fldChar w:fldCharType="separate"/>
            </w:r>
            <w:r w:rsidR="0009653D">
              <w:rPr>
                <w:noProof/>
                <w:webHidden/>
                <w:sz w:val="22"/>
              </w:rPr>
              <w:t>436</w:t>
            </w:r>
            <w:r w:rsidR="00A1370F" w:rsidRPr="00A1370F">
              <w:rPr>
                <w:noProof/>
                <w:webHidden/>
                <w:sz w:val="22"/>
              </w:rPr>
              <w:fldChar w:fldCharType="end"/>
            </w:r>
          </w:hyperlink>
        </w:p>
        <w:p w14:paraId="64A94AA4" w14:textId="791C5EBA" w:rsidR="00A1370F" w:rsidRPr="00A1370F" w:rsidRDefault="00000000" w:rsidP="00A1370F">
          <w:pPr>
            <w:pStyle w:val="TOC2"/>
            <w:rPr>
              <w:rFonts w:asciiTheme="minorHAnsi" w:eastAsiaTheme="minorEastAsia" w:hAnsiTheme="minorHAnsi" w:cstheme="minorBidi"/>
              <w:noProof/>
              <w:sz w:val="22"/>
              <w:lang w:eastAsia="en-GB"/>
            </w:rPr>
          </w:pPr>
          <w:hyperlink w:anchor="_Toc106354228" w:history="1">
            <w:r w:rsidR="00A1370F" w:rsidRPr="00A1370F">
              <w:rPr>
                <w:rStyle w:val="Hyperlink"/>
                <w:noProof/>
                <w:sz w:val="22"/>
              </w:rPr>
              <w:t>8.3. Worked examples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_Toc106354228 \h </w:instrText>
            </w:r>
            <w:r w:rsidR="00A1370F" w:rsidRPr="00A1370F">
              <w:rPr>
                <w:noProof/>
                <w:webHidden/>
                <w:sz w:val="22"/>
              </w:rPr>
            </w:r>
            <w:r w:rsidR="00A1370F" w:rsidRPr="00A1370F">
              <w:rPr>
                <w:noProof/>
                <w:webHidden/>
                <w:sz w:val="22"/>
              </w:rPr>
              <w:fldChar w:fldCharType="separate"/>
            </w:r>
            <w:r w:rsidR="0009653D">
              <w:rPr>
                <w:noProof/>
                <w:webHidden/>
                <w:sz w:val="22"/>
              </w:rPr>
              <w:t>439</w:t>
            </w:r>
            <w:r w:rsidR="00A1370F" w:rsidRPr="00A1370F">
              <w:rPr>
                <w:noProof/>
                <w:webHidden/>
                <w:sz w:val="22"/>
              </w:rPr>
              <w:fldChar w:fldCharType="end"/>
            </w:r>
          </w:hyperlink>
        </w:p>
        <w:p w14:paraId="4DA16D17" w14:textId="3405D779" w:rsidR="00A1370F" w:rsidRPr="00A1370F" w:rsidRDefault="00000000" w:rsidP="00A1370F">
          <w:pPr>
            <w:pStyle w:val="TOC3"/>
            <w:rPr>
              <w:rFonts w:asciiTheme="minorHAnsi" w:eastAsiaTheme="minorEastAsia" w:hAnsiTheme="minorHAnsi" w:cstheme="minorBidi"/>
              <w:noProof/>
              <w:sz w:val="22"/>
              <w:lang w:eastAsia="en-GB"/>
            </w:rPr>
          </w:pPr>
          <w:hyperlink w:anchor="_Toc106354229" w:history="1">
            <w:r w:rsidR="00A1370F" w:rsidRPr="00A1370F">
              <w:rPr>
                <w:rStyle w:val="Hyperlink"/>
                <w:noProof/>
                <w:sz w:val="22"/>
              </w:rPr>
              <w:t>8.3.1. Worked Example 1: Levelling stream sediment results for K</w:t>
            </w:r>
            <w:r w:rsidR="00A1370F" w:rsidRPr="00A1370F">
              <w:rPr>
                <w:rStyle w:val="Hyperlink"/>
                <w:noProof/>
                <w:sz w:val="22"/>
                <w:vertAlign w:val="subscript"/>
              </w:rPr>
              <w:t>2</w:t>
            </w:r>
            <w:r w:rsidR="00A1370F" w:rsidRPr="00A1370F">
              <w:rPr>
                <w:rStyle w:val="Hyperlink"/>
                <w:noProof/>
                <w:sz w:val="22"/>
              </w:rPr>
              <w:t>O from the G−BASE central</w:t>
            </w:r>
            <w:r w:rsidR="00795D4E">
              <w:rPr>
                <w:rStyle w:val="Hyperlink"/>
                <w:noProof/>
                <w:sz w:val="22"/>
              </w:rPr>
              <w:t xml:space="preserve"> </w:t>
            </w:r>
            <w:r w:rsidR="00A1370F" w:rsidRPr="00A1370F">
              <w:rPr>
                <w:rStyle w:val="Hyperlink"/>
                <w:noProof/>
                <w:sz w:val="22"/>
              </w:rPr>
              <w:t xml:space="preserve"> and eastern England area</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_Toc106354229 \h </w:instrText>
            </w:r>
            <w:r w:rsidR="00A1370F" w:rsidRPr="00A1370F">
              <w:rPr>
                <w:noProof/>
                <w:webHidden/>
                <w:sz w:val="22"/>
              </w:rPr>
            </w:r>
            <w:r w:rsidR="00A1370F" w:rsidRPr="00A1370F">
              <w:rPr>
                <w:noProof/>
                <w:webHidden/>
                <w:sz w:val="22"/>
              </w:rPr>
              <w:fldChar w:fldCharType="separate"/>
            </w:r>
            <w:r w:rsidR="0009653D">
              <w:rPr>
                <w:noProof/>
                <w:webHidden/>
                <w:sz w:val="22"/>
              </w:rPr>
              <w:t>439</w:t>
            </w:r>
            <w:r w:rsidR="00A1370F" w:rsidRPr="00A1370F">
              <w:rPr>
                <w:noProof/>
                <w:webHidden/>
                <w:sz w:val="22"/>
              </w:rPr>
              <w:fldChar w:fldCharType="end"/>
            </w:r>
          </w:hyperlink>
        </w:p>
        <w:p w14:paraId="44E2DA54" w14:textId="1CFA2493" w:rsidR="00A1370F" w:rsidRPr="00A1370F" w:rsidRDefault="00000000" w:rsidP="00A1370F">
          <w:pPr>
            <w:pStyle w:val="TOC3"/>
            <w:rPr>
              <w:rFonts w:asciiTheme="minorHAnsi" w:eastAsiaTheme="minorEastAsia" w:hAnsiTheme="minorHAnsi" w:cstheme="minorBidi"/>
              <w:noProof/>
              <w:sz w:val="22"/>
              <w:lang w:eastAsia="en-GB"/>
            </w:rPr>
          </w:pPr>
          <w:hyperlink w:anchor="_Toc106354230" w:history="1">
            <w:r w:rsidR="00A1370F" w:rsidRPr="00A1370F">
              <w:rPr>
                <w:rStyle w:val="Hyperlink"/>
                <w:noProof/>
                <w:sz w:val="22"/>
              </w:rPr>
              <w:t>8.3.2. Worked Example 2: Levelling stream sediment results for lanthanum (La) from northern Scotland determined by DC-OES and ICP-MS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_Toc106354230 \h </w:instrText>
            </w:r>
            <w:r w:rsidR="00A1370F" w:rsidRPr="00A1370F">
              <w:rPr>
                <w:noProof/>
                <w:webHidden/>
                <w:sz w:val="22"/>
              </w:rPr>
            </w:r>
            <w:r w:rsidR="00A1370F" w:rsidRPr="00A1370F">
              <w:rPr>
                <w:noProof/>
                <w:webHidden/>
                <w:sz w:val="22"/>
              </w:rPr>
              <w:fldChar w:fldCharType="separate"/>
            </w:r>
            <w:r w:rsidR="0009653D">
              <w:rPr>
                <w:noProof/>
                <w:webHidden/>
                <w:sz w:val="22"/>
              </w:rPr>
              <w:t>445</w:t>
            </w:r>
            <w:r w:rsidR="00A1370F" w:rsidRPr="00A1370F">
              <w:rPr>
                <w:noProof/>
                <w:webHidden/>
                <w:sz w:val="22"/>
              </w:rPr>
              <w:fldChar w:fldCharType="end"/>
            </w:r>
          </w:hyperlink>
        </w:p>
        <w:p w14:paraId="4DDEB396" w14:textId="66B8C70A" w:rsidR="00A1370F" w:rsidRPr="00A1370F" w:rsidRDefault="00000000" w:rsidP="00A1370F">
          <w:pPr>
            <w:pStyle w:val="TOC2"/>
            <w:rPr>
              <w:rFonts w:asciiTheme="minorHAnsi" w:eastAsiaTheme="minorEastAsia" w:hAnsiTheme="minorHAnsi" w:cstheme="minorBidi"/>
              <w:noProof/>
              <w:sz w:val="22"/>
              <w:lang w:eastAsia="en-GB"/>
            </w:rPr>
          </w:pPr>
          <w:hyperlink w:anchor="_Toc106354231" w:history="1">
            <w:r w:rsidR="00A1370F" w:rsidRPr="00A1370F">
              <w:rPr>
                <w:rStyle w:val="Hyperlink"/>
                <w:noProof/>
                <w:sz w:val="22"/>
              </w:rPr>
              <w:t>8.4. Other strategies required to future-proof data over long periods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_Toc106354231 \h </w:instrText>
            </w:r>
            <w:r w:rsidR="00A1370F" w:rsidRPr="00A1370F">
              <w:rPr>
                <w:noProof/>
                <w:webHidden/>
                <w:sz w:val="22"/>
              </w:rPr>
            </w:r>
            <w:r w:rsidR="00A1370F" w:rsidRPr="00A1370F">
              <w:rPr>
                <w:noProof/>
                <w:webHidden/>
                <w:sz w:val="22"/>
              </w:rPr>
              <w:fldChar w:fldCharType="separate"/>
            </w:r>
            <w:r w:rsidR="0009653D">
              <w:rPr>
                <w:noProof/>
                <w:webHidden/>
                <w:sz w:val="22"/>
              </w:rPr>
              <w:t>449</w:t>
            </w:r>
            <w:r w:rsidR="00A1370F" w:rsidRPr="00A1370F">
              <w:rPr>
                <w:noProof/>
                <w:webHidden/>
                <w:sz w:val="22"/>
              </w:rPr>
              <w:fldChar w:fldCharType="end"/>
            </w:r>
          </w:hyperlink>
        </w:p>
        <w:p w14:paraId="739C70FC" w14:textId="1D6A9209" w:rsidR="00A1370F" w:rsidRPr="00A1370F" w:rsidRDefault="00000000" w:rsidP="00A1370F">
          <w:pPr>
            <w:pStyle w:val="TOC3"/>
            <w:rPr>
              <w:rFonts w:asciiTheme="minorHAnsi" w:eastAsiaTheme="minorEastAsia" w:hAnsiTheme="minorHAnsi" w:cstheme="minorBidi"/>
              <w:noProof/>
              <w:sz w:val="22"/>
              <w:lang w:eastAsia="en-GB"/>
            </w:rPr>
          </w:pPr>
          <w:hyperlink w:anchor="_Toc106354232" w:history="1">
            <w:r w:rsidR="00A1370F" w:rsidRPr="00A1370F">
              <w:rPr>
                <w:rStyle w:val="Hyperlink"/>
                <w:noProof/>
                <w:sz w:val="22"/>
              </w:rPr>
              <w:t>8.4.1. Improved lower detection limit</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_Toc106354232 \h </w:instrText>
            </w:r>
            <w:r w:rsidR="00A1370F" w:rsidRPr="00A1370F">
              <w:rPr>
                <w:noProof/>
                <w:webHidden/>
                <w:sz w:val="22"/>
              </w:rPr>
            </w:r>
            <w:r w:rsidR="00A1370F" w:rsidRPr="00A1370F">
              <w:rPr>
                <w:noProof/>
                <w:webHidden/>
                <w:sz w:val="22"/>
              </w:rPr>
              <w:fldChar w:fldCharType="separate"/>
            </w:r>
            <w:r w:rsidR="0009653D">
              <w:rPr>
                <w:noProof/>
                <w:webHidden/>
                <w:sz w:val="22"/>
              </w:rPr>
              <w:t>449</w:t>
            </w:r>
            <w:r w:rsidR="00A1370F" w:rsidRPr="00A1370F">
              <w:rPr>
                <w:noProof/>
                <w:webHidden/>
                <w:sz w:val="22"/>
              </w:rPr>
              <w:fldChar w:fldCharType="end"/>
            </w:r>
          </w:hyperlink>
        </w:p>
        <w:p w14:paraId="53A7582D" w14:textId="39CA4BD3" w:rsidR="00A1370F" w:rsidRPr="00A1370F" w:rsidRDefault="00000000" w:rsidP="00A1370F">
          <w:pPr>
            <w:pStyle w:val="TOC3"/>
            <w:rPr>
              <w:rFonts w:asciiTheme="minorHAnsi" w:eastAsiaTheme="minorEastAsia" w:hAnsiTheme="minorHAnsi" w:cstheme="minorBidi"/>
              <w:noProof/>
              <w:sz w:val="22"/>
              <w:lang w:eastAsia="en-GB"/>
            </w:rPr>
          </w:pPr>
          <w:hyperlink w:anchor="_Toc106354233" w:history="1">
            <w:r w:rsidR="00A1370F" w:rsidRPr="00A1370F">
              <w:rPr>
                <w:rStyle w:val="Hyperlink"/>
                <w:noProof/>
                <w:sz w:val="22"/>
              </w:rPr>
              <w:t>8.4.2. Monitoring changes to the geochemical baseline over long periods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_Toc106354233 \h </w:instrText>
            </w:r>
            <w:r w:rsidR="00A1370F" w:rsidRPr="00A1370F">
              <w:rPr>
                <w:noProof/>
                <w:webHidden/>
                <w:sz w:val="22"/>
              </w:rPr>
            </w:r>
            <w:r w:rsidR="00A1370F" w:rsidRPr="00A1370F">
              <w:rPr>
                <w:noProof/>
                <w:webHidden/>
                <w:sz w:val="22"/>
              </w:rPr>
              <w:fldChar w:fldCharType="separate"/>
            </w:r>
            <w:r w:rsidR="0009653D">
              <w:rPr>
                <w:noProof/>
                <w:webHidden/>
                <w:sz w:val="22"/>
              </w:rPr>
              <w:t>452</w:t>
            </w:r>
            <w:r w:rsidR="00A1370F" w:rsidRPr="00A1370F">
              <w:rPr>
                <w:noProof/>
                <w:webHidden/>
                <w:sz w:val="22"/>
              </w:rPr>
              <w:fldChar w:fldCharType="end"/>
            </w:r>
          </w:hyperlink>
        </w:p>
        <w:p w14:paraId="55EE8E16" w14:textId="4408BA66" w:rsidR="00A1370F" w:rsidRPr="00A1370F" w:rsidRDefault="00000000" w:rsidP="00A1370F">
          <w:pPr>
            <w:pStyle w:val="TOC2"/>
            <w:rPr>
              <w:rFonts w:asciiTheme="minorHAnsi" w:eastAsiaTheme="minorEastAsia" w:hAnsiTheme="minorHAnsi" w:cstheme="minorBidi"/>
              <w:noProof/>
              <w:sz w:val="22"/>
              <w:lang w:eastAsia="en-GB"/>
            </w:rPr>
          </w:pPr>
          <w:hyperlink w:anchor="_Toc106354234" w:history="1">
            <w:r w:rsidR="00A1370F" w:rsidRPr="00A1370F">
              <w:rPr>
                <w:rStyle w:val="Hyperlink"/>
                <w:noProof/>
                <w:sz w:val="22"/>
              </w:rPr>
              <w:t>8.5. Recommendations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_Toc106354234 \h </w:instrText>
            </w:r>
            <w:r w:rsidR="00A1370F" w:rsidRPr="00A1370F">
              <w:rPr>
                <w:noProof/>
                <w:webHidden/>
                <w:sz w:val="22"/>
              </w:rPr>
            </w:r>
            <w:r w:rsidR="00A1370F" w:rsidRPr="00A1370F">
              <w:rPr>
                <w:noProof/>
                <w:webHidden/>
                <w:sz w:val="22"/>
              </w:rPr>
              <w:fldChar w:fldCharType="separate"/>
            </w:r>
            <w:r w:rsidR="0009653D">
              <w:rPr>
                <w:noProof/>
                <w:webHidden/>
                <w:sz w:val="22"/>
              </w:rPr>
              <w:t>452</w:t>
            </w:r>
            <w:r w:rsidR="00A1370F" w:rsidRPr="00A1370F">
              <w:rPr>
                <w:noProof/>
                <w:webHidden/>
                <w:sz w:val="22"/>
              </w:rPr>
              <w:fldChar w:fldCharType="end"/>
            </w:r>
          </w:hyperlink>
        </w:p>
        <w:p w14:paraId="3BCDD6BB" w14:textId="4590D07D" w:rsidR="00A1370F" w:rsidRPr="00A1370F" w:rsidRDefault="00000000" w:rsidP="00A1370F">
          <w:pPr>
            <w:pStyle w:val="TOC2"/>
            <w:rPr>
              <w:rFonts w:asciiTheme="minorHAnsi" w:eastAsiaTheme="minorEastAsia" w:hAnsiTheme="minorHAnsi" w:cstheme="minorBidi"/>
              <w:noProof/>
              <w:sz w:val="22"/>
              <w:lang w:eastAsia="en-GB"/>
            </w:rPr>
          </w:pPr>
          <w:hyperlink w:anchor="_Toc106354235" w:history="1">
            <w:r w:rsidR="00A1370F" w:rsidRPr="00A1370F">
              <w:rPr>
                <w:rStyle w:val="Hyperlink"/>
                <w:noProof/>
                <w:sz w:val="22"/>
              </w:rPr>
              <w:t>Supplementary material</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_Toc106354235 \h </w:instrText>
            </w:r>
            <w:r w:rsidR="00A1370F" w:rsidRPr="00A1370F">
              <w:rPr>
                <w:noProof/>
                <w:webHidden/>
                <w:sz w:val="22"/>
              </w:rPr>
            </w:r>
            <w:r w:rsidR="00A1370F" w:rsidRPr="00A1370F">
              <w:rPr>
                <w:noProof/>
                <w:webHidden/>
                <w:sz w:val="22"/>
              </w:rPr>
              <w:fldChar w:fldCharType="separate"/>
            </w:r>
            <w:r w:rsidR="0009653D">
              <w:rPr>
                <w:noProof/>
                <w:webHidden/>
                <w:sz w:val="22"/>
              </w:rPr>
              <w:t>454</w:t>
            </w:r>
            <w:r w:rsidR="00A1370F" w:rsidRPr="00A1370F">
              <w:rPr>
                <w:noProof/>
                <w:webHidden/>
                <w:sz w:val="22"/>
              </w:rPr>
              <w:fldChar w:fldCharType="end"/>
            </w:r>
          </w:hyperlink>
        </w:p>
        <w:p w14:paraId="62B39D9F" w14:textId="6043DF26" w:rsidR="00A1370F" w:rsidRDefault="00000000" w:rsidP="00A1370F">
          <w:pPr>
            <w:pStyle w:val="TOC2"/>
            <w:rPr>
              <w:rFonts w:asciiTheme="minorHAnsi" w:eastAsiaTheme="minorEastAsia" w:hAnsiTheme="minorHAnsi" w:cstheme="minorBidi"/>
              <w:noProof/>
              <w:sz w:val="22"/>
              <w:lang w:eastAsia="en-GB"/>
            </w:rPr>
          </w:pPr>
          <w:hyperlink w:anchor="_Toc106354236" w:history="1">
            <w:r w:rsidR="00A1370F" w:rsidRPr="00A1370F">
              <w:rPr>
                <w:rStyle w:val="Hyperlink"/>
                <w:noProof/>
                <w:sz w:val="22"/>
              </w:rPr>
              <w:t>References</w:t>
            </w:r>
            <w:r w:rsidR="00A1370F" w:rsidRPr="00A1370F">
              <w:rPr>
                <w:noProof/>
                <w:webHidden/>
                <w:sz w:val="22"/>
              </w:rPr>
              <w:tab/>
            </w:r>
            <w:r w:rsidR="00A1370F" w:rsidRPr="00A1370F">
              <w:rPr>
                <w:noProof/>
                <w:webHidden/>
                <w:sz w:val="22"/>
              </w:rPr>
              <w:fldChar w:fldCharType="begin"/>
            </w:r>
            <w:r w:rsidR="00A1370F" w:rsidRPr="00A1370F">
              <w:rPr>
                <w:noProof/>
                <w:webHidden/>
                <w:sz w:val="22"/>
              </w:rPr>
              <w:instrText xml:space="preserve"> PAGEREF _Toc106354236 \h </w:instrText>
            </w:r>
            <w:r w:rsidR="00A1370F" w:rsidRPr="00A1370F">
              <w:rPr>
                <w:noProof/>
                <w:webHidden/>
                <w:sz w:val="22"/>
              </w:rPr>
            </w:r>
            <w:r w:rsidR="00A1370F" w:rsidRPr="00A1370F">
              <w:rPr>
                <w:noProof/>
                <w:webHidden/>
                <w:sz w:val="22"/>
              </w:rPr>
              <w:fldChar w:fldCharType="separate"/>
            </w:r>
            <w:r w:rsidR="0009653D">
              <w:rPr>
                <w:noProof/>
                <w:webHidden/>
                <w:sz w:val="22"/>
              </w:rPr>
              <w:t>454</w:t>
            </w:r>
            <w:r w:rsidR="00A1370F" w:rsidRPr="00A1370F">
              <w:rPr>
                <w:noProof/>
                <w:webHidden/>
                <w:sz w:val="22"/>
              </w:rPr>
              <w:fldChar w:fldCharType="end"/>
            </w:r>
          </w:hyperlink>
        </w:p>
        <w:p w14:paraId="1022A9DB" w14:textId="1FB2C6DD" w:rsidR="009C2674" w:rsidRDefault="00680CE1" w:rsidP="0063591C">
          <w:r>
            <w:fldChar w:fldCharType="end"/>
          </w:r>
        </w:p>
      </w:sdtContent>
    </w:sdt>
    <w:p w14:paraId="1CDAE072" w14:textId="77777777" w:rsidR="009C2674" w:rsidRDefault="009C2674" w:rsidP="009C2674"/>
    <w:p w14:paraId="13E13D80" w14:textId="77777777" w:rsidR="009C2674" w:rsidRDefault="009C2674" w:rsidP="009C2674"/>
    <w:p w14:paraId="430100EF" w14:textId="77777777" w:rsidR="009C2674" w:rsidRDefault="009C2674" w:rsidP="009C2674"/>
    <w:p w14:paraId="188DBBD3" w14:textId="77777777" w:rsidR="009C2674" w:rsidRDefault="009C2674" w:rsidP="009C2674"/>
    <w:p w14:paraId="106B4FD1" w14:textId="77777777" w:rsidR="006A056C" w:rsidRDefault="006A056C" w:rsidP="009C2674"/>
    <w:p w14:paraId="7FE1C74F" w14:textId="77777777" w:rsidR="004B0069" w:rsidRDefault="004B0069" w:rsidP="009C2674"/>
    <w:p w14:paraId="13A81F5B" w14:textId="77777777" w:rsidR="004B0069" w:rsidRDefault="004B0069" w:rsidP="009C2674"/>
    <w:p w14:paraId="33C7B110" w14:textId="77777777" w:rsidR="004B0069" w:rsidRDefault="004B0069" w:rsidP="009C2674"/>
    <w:p w14:paraId="0EE085D6" w14:textId="77777777" w:rsidR="004B0069" w:rsidRDefault="004B0069" w:rsidP="009C2674"/>
    <w:p w14:paraId="567B201B" w14:textId="77777777" w:rsidR="004B0069" w:rsidRDefault="004B0069" w:rsidP="009C2674"/>
    <w:p w14:paraId="4C8BA2F2" w14:textId="77777777" w:rsidR="004B0069" w:rsidRDefault="004B0069" w:rsidP="009C2674"/>
    <w:p w14:paraId="23F6F06A" w14:textId="77777777" w:rsidR="004B0069" w:rsidRDefault="004B0069" w:rsidP="009C2674"/>
    <w:p w14:paraId="5371C575" w14:textId="77777777" w:rsidR="004B0069" w:rsidRDefault="004B0069" w:rsidP="009C2674"/>
    <w:p w14:paraId="4EB10720" w14:textId="77777777" w:rsidR="004B0069" w:rsidRDefault="004B0069" w:rsidP="009C2674"/>
    <w:p w14:paraId="786B267F" w14:textId="77777777" w:rsidR="004B0069" w:rsidRDefault="004B0069" w:rsidP="009C2674"/>
    <w:p w14:paraId="41B0C81A" w14:textId="77777777" w:rsidR="004B0069" w:rsidRDefault="004B0069" w:rsidP="009C2674"/>
    <w:p w14:paraId="35F971ED" w14:textId="77777777" w:rsidR="004B0069" w:rsidRDefault="004B0069" w:rsidP="009C2674"/>
    <w:p w14:paraId="3D945AD4" w14:textId="77777777" w:rsidR="004B0069" w:rsidRDefault="004B0069" w:rsidP="009C2674"/>
    <w:p w14:paraId="7F6D46A9" w14:textId="77777777" w:rsidR="004B0069" w:rsidRDefault="004B0069" w:rsidP="009C2674"/>
    <w:p w14:paraId="1E3CC4D2" w14:textId="77777777" w:rsidR="004B0069" w:rsidRDefault="004B0069" w:rsidP="009C2674"/>
    <w:p w14:paraId="1C5776D8" w14:textId="77777777" w:rsidR="004B0069" w:rsidRDefault="004B0069" w:rsidP="009C2674"/>
    <w:p w14:paraId="62770C0A" w14:textId="77777777" w:rsidR="004B0069" w:rsidRDefault="004B0069" w:rsidP="009C2674"/>
    <w:p w14:paraId="0C15D818" w14:textId="77777777" w:rsidR="004B0069" w:rsidRDefault="004B0069" w:rsidP="009C2674"/>
    <w:p w14:paraId="3D0FB8E1" w14:textId="77777777" w:rsidR="004B0069" w:rsidRDefault="004B0069" w:rsidP="009C2674"/>
    <w:p w14:paraId="1F34775E" w14:textId="77777777" w:rsidR="004B0069" w:rsidRDefault="004B0069" w:rsidP="009C2674"/>
    <w:p w14:paraId="3AD40CA4" w14:textId="77777777" w:rsidR="004B0069" w:rsidRDefault="004B0069" w:rsidP="009C2674"/>
    <w:p w14:paraId="73F5D1F5" w14:textId="77777777" w:rsidR="004B0069" w:rsidRDefault="004B0069" w:rsidP="009C2674"/>
    <w:p w14:paraId="388490CD" w14:textId="77777777" w:rsidR="004B0069" w:rsidRDefault="004B0069" w:rsidP="009C2674"/>
    <w:p w14:paraId="50B3D86C" w14:textId="77777777" w:rsidR="004B0069" w:rsidRDefault="004B0069" w:rsidP="009C2674"/>
    <w:p w14:paraId="1E8279CF" w14:textId="77777777" w:rsidR="004B0069" w:rsidRDefault="004B0069" w:rsidP="009C2674"/>
    <w:p w14:paraId="0E87B41F" w14:textId="77777777" w:rsidR="004B0069" w:rsidRDefault="004B0069" w:rsidP="009C2674"/>
    <w:p w14:paraId="0715CC67" w14:textId="77777777" w:rsidR="004B0069" w:rsidRDefault="004B0069" w:rsidP="009C2674"/>
    <w:p w14:paraId="6A4F354D" w14:textId="77777777" w:rsidR="004B0069" w:rsidRDefault="004B0069" w:rsidP="009C2674"/>
    <w:p w14:paraId="7BBCB96A" w14:textId="77777777" w:rsidR="004B0069" w:rsidRDefault="004B0069" w:rsidP="009C2674"/>
    <w:p w14:paraId="12220DAC" w14:textId="77777777" w:rsidR="004B0069" w:rsidRDefault="004B0069" w:rsidP="009C2674"/>
    <w:p w14:paraId="3F734432" w14:textId="77777777" w:rsidR="004B0069" w:rsidRDefault="004B0069" w:rsidP="009C2674"/>
    <w:p w14:paraId="440BFB4B" w14:textId="77777777" w:rsidR="004B0069" w:rsidRDefault="004B0069" w:rsidP="009C2674"/>
    <w:p w14:paraId="1AB450E1" w14:textId="77777777" w:rsidR="004B0069" w:rsidRDefault="004B0069" w:rsidP="009C2674"/>
    <w:p w14:paraId="128F790B" w14:textId="77777777" w:rsidR="004B0069" w:rsidRDefault="004B0069" w:rsidP="009C2674"/>
    <w:p w14:paraId="25236268" w14:textId="77777777" w:rsidR="004B0069" w:rsidRDefault="004B0069" w:rsidP="009C2674"/>
    <w:p w14:paraId="5982E73A" w14:textId="77777777" w:rsidR="004B0069" w:rsidRDefault="004B0069" w:rsidP="009C2674"/>
    <w:p w14:paraId="0DED85CC" w14:textId="77777777" w:rsidR="004B0069" w:rsidRDefault="004B0069" w:rsidP="009C2674"/>
    <w:p w14:paraId="6C32A1E6" w14:textId="77777777" w:rsidR="004B0069" w:rsidRDefault="004B0069" w:rsidP="009C2674"/>
    <w:p w14:paraId="6D79D6A2" w14:textId="77777777" w:rsidR="004B0069" w:rsidRDefault="004B0069" w:rsidP="009C2674"/>
    <w:p w14:paraId="762BFC36" w14:textId="77777777" w:rsidR="004B0069" w:rsidRDefault="004B0069" w:rsidP="009C2674"/>
    <w:p w14:paraId="10778B19" w14:textId="77777777" w:rsidR="004B0069" w:rsidRDefault="004B0069" w:rsidP="009C2674"/>
    <w:p w14:paraId="551FEBB6" w14:textId="77777777" w:rsidR="004B0069" w:rsidRDefault="004B0069" w:rsidP="009C2674"/>
    <w:p w14:paraId="44A296B5" w14:textId="77777777" w:rsidR="004B0069" w:rsidRDefault="004B0069" w:rsidP="009C2674"/>
    <w:p w14:paraId="2C7C85AE" w14:textId="77777777" w:rsidR="004B0069" w:rsidRDefault="004B0069" w:rsidP="009C2674"/>
    <w:p w14:paraId="40213B94" w14:textId="77777777" w:rsidR="004B0069" w:rsidRDefault="004B0069" w:rsidP="009C2674"/>
    <w:p w14:paraId="55F76EA9" w14:textId="77777777" w:rsidR="004B0069" w:rsidRDefault="004B0069" w:rsidP="009C2674"/>
    <w:p w14:paraId="105D37B1" w14:textId="77777777" w:rsidR="004B0069" w:rsidRDefault="004B0069" w:rsidP="009C2674"/>
    <w:p w14:paraId="632E4329" w14:textId="77777777" w:rsidR="004B0069" w:rsidRDefault="004B0069" w:rsidP="009C2674"/>
    <w:p w14:paraId="00D36F23" w14:textId="77777777" w:rsidR="004B0069" w:rsidRDefault="004B0069" w:rsidP="009C2674"/>
    <w:p w14:paraId="4A5B5320" w14:textId="77777777" w:rsidR="004B0069" w:rsidRDefault="004B0069" w:rsidP="009C2674"/>
    <w:p w14:paraId="2C90E26C" w14:textId="77777777" w:rsidR="004B0069" w:rsidRDefault="004B0069" w:rsidP="009C2674"/>
    <w:p w14:paraId="4D4B0879" w14:textId="77777777" w:rsidR="004B0069" w:rsidRDefault="004B0069" w:rsidP="009C2674"/>
    <w:p w14:paraId="5290EF7C" w14:textId="77777777" w:rsidR="004B0069" w:rsidRDefault="004B0069" w:rsidP="009C2674"/>
    <w:p w14:paraId="1D40469C" w14:textId="77777777" w:rsidR="004B0069" w:rsidRDefault="004B0069" w:rsidP="009C2674"/>
    <w:p w14:paraId="45E18AFD" w14:textId="77777777" w:rsidR="004B0069" w:rsidRDefault="004B0069" w:rsidP="009C2674"/>
    <w:p w14:paraId="789DEE37" w14:textId="77777777" w:rsidR="004B0069" w:rsidRDefault="004B0069" w:rsidP="009C2674"/>
    <w:p w14:paraId="5DC899CE" w14:textId="77777777" w:rsidR="004B0069" w:rsidRDefault="004B0069" w:rsidP="009C2674"/>
    <w:p w14:paraId="73C16E57" w14:textId="77777777" w:rsidR="004B0069" w:rsidRDefault="004B0069" w:rsidP="009C2674"/>
    <w:p w14:paraId="5EB2FF22" w14:textId="77777777" w:rsidR="004B0069" w:rsidRDefault="004B0069" w:rsidP="009C2674"/>
    <w:p w14:paraId="13F29B30" w14:textId="77777777" w:rsidR="004B0069" w:rsidRDefault="004B0069" w:rsidP="009C2674"/>
    <w:p w14:paraId="5D384020" w14:textId="77777777" w:rsidR="004B0069" w:rsidRDefault="004B0069" w:rsidP="009C2674"/>
    <w:p w14:paraId="5200F499" w14:textId="77777777" w:rsidR="004B0069" w:rsidRDefault="004B0069" w:rsidP="009C2674"/>
    <w:p w14:paraId="09B47DC8" w14:textId="77777777" w:rsidR="004B0069" w:rsidRDefault="004B0069" w:rsidP="009C2674"/>
    <w:p w14:paraId="6C4A2038" w14:textId="77777777" w:rsidR="004B0069" w:rsidRDefault="004B0069" w:rsidP="009C2674"/>
    <w:p w14:paraId="72C2F7E1" w14:textId="77777777" w:rsidR="004B0069" w:rsidRDefault="004B0069" w:rsidP="009C2674"/>
    <w:p w14:paraId="3CAC768A" w14:textId="77777777" w:rsidR="004B0069" w:rsidRDefault="004B0069" w:rsidP="009C2674"/>
    <w:p w14:paraId="3F4C5317" w14:textId="77777777" w:rsidR="004B0069" w:rsidRDefault="004B0069" w:rsidP="009C2674"/>
    <w:p w14:paraId="6E1C73B7" w14:textId="77777777" w:rsidR="004B0069" w:rsidRDefault="004B0069" w:rsidP="009C2674"/>
    <w:p w14:paraId="549035EE" w14:textId="77777777" w:rsidR="00F43023" w:rsidRDefault="00F43023" w:rsidP="009C2674"/>
    <w:p w14:paraId="3B71CE71" w14:textId="77777777" w:rsidR="00F43023" w:rsidRDefault="00F43023" w:rsidP="009C2674"/>
    <w:p w14:paraId="18099CDF" w14:textId="0AE0F52A" w:rsidR="00F43023" w:rsidRDefault="00F43023" w:rsidP="009C2674"/>
    <w:p w14:paraId="7329F6F7" w14:textId="2BF4501A" w:rsidR="00567830" w:rsidRDefault="00567830" w:rsidP="009C2674"/>
    <w:p w14:paraId="56B1BE59" w14:textId="7BE0526A" w:rsidR="00567830" w:rsidRDefault="00567830" w:rsidP="009C2674"/>
    <w:p w14:paraId="67C6B6E6" w14:textId="4D638246" w:rsidR="00567830" w:rsidRDefault="00567830" w:rsidP="009C2674"/>
    <w:p w14:paraId="7D89A6C5" w14:textId="77777777" w:rsidR="00567830" w:rsidRDefault="00567830" w:rsidP="009C2674"/>
    <w:p w14:paraId="43D3C5FE" w14:textId="77777777" w:rsidR="00F43023" w:rsidRDefault="00F43023" w:rsidP="009C2674"/>
    <w:p w14:paraId="2E5F76D8" w14:textId="77777777" w:rsidR="004B0069" w:rsidRDefault="004B0069" w:rsidP="009C2674"/>
    <w:p w14:paraId="6D6F676C" w14:textId="77777777" w:rsidR="00EE72A5" w:rsidRDefault="00EE72A5" w:rsidP="009C2674">
      <w:pPr>
        <w:rPr>
          <w:i/>
          <w:iCs/>
          <w:sz w:val="16"/>
          <w:szCs w:val="16"/>
        </w:rPr>
      </w:pPr>
    </w:p>
    <w:p w14:paraId="4ACD938B" w14:textId="77777777" w:rsidR="00EE72A5" w:rsidRDefault="00EE72A5" w:rsidP="009C2674">
      <w:pPr>
        <w:rPr>
          <w:i/>
          <w:iCs/>
          <w:sz w:val="16"/>
          <w:szCs w:val="16"/>
        </w:rPr>
      </w:pPr>
    </w:p>
    <w:p w14:paraId="1F5F0095" w14:textId="65DF83BB" w:rsidR="004B0069" w:rsidRPr="0063591C" w:rsidRDefault="004B0069" w:rsidP="009C2674">
      <w:pPr>
        <w:rPr>
          <w:i/>
          <w:iCs/>
          <w:sz w:val="16"/>
          <w:szCs w:val="16"/>
        </w:rPr>
      </w:pPr>
      <w:r w:rsidRPr="0063591C">
        <w:rPr>
          <w:i/>
          <w:iCs/>
          <w:sz w:val="16"/>
          <w:szCs w:val="16"/>
        </w:rPr>
        <w:t>Blank back page</w:t>
      </w:r>
    </w:p>
    <w:p w14:paraId="1AA60BE1" w14:textId="77777777" w:rsidR="004B0069" w:rsidRDefault="004B0069" w:rsidP="009C2674"/>
    <w:p w14:paraId="1C884EF5" w14:textId="654CB515" w:rsidR="00845884" w:rsidRPr="000A0A6B" w:rsidRDefault="0036693A" w:rsidP="00F73A06">
      <w:pPr>
        <w:pStyle w:val="Heading2"/>
      </w:pPr>
      <w:bookmarkStart w:id="4" w:name="_Toc92056809"/>
      <w:bookmarkStart w:id="5" w:name="_Toc92056907"/>
      <w:bookmarkStart w:id="6" w:name="_Toc106354223"/>
      <w:r>
        <w:lastRenderedPageBreak/>
        <w:t>8</w:t>
      </w:r>
      <w:r w:rsidR="0047565D" w:rsidRPr="0047565D">
        <w:t>.1. Introduction</w:t>
      </w:r>
      <w:bookmarkEnd w:id="4"/>
      <w:bookmarkEnd w:id="5"/>
      <w:bookmarkEnd w:id="6"/>
    </w:p>
    <w:p w14:paraId="3449D4DC" w14:textId="267AABF6" w:rsidR="00323BD2" w:rsidRDefault="00323BD2" w:rsidP="00323BD2">
      <w:pPr>
        <w:pStyle w:val="BodyText"/>
      </w:pPr>
      <w:r w:rsidRPr="007D1437">
        <w:t>A geochemical project can generate data sets of varying size</w:t>
      </w:r>
      <w:r w:rsidR="005931CB">
        <w:t>s</w:t>
      </w:r>
      <w:r w:rsidRPr="007D1437">
        <w:t xml:space="preserve"> whether it be the results of twenty samples from an undergraduate university thesis or a national mapping programme </w:t>
      </w:r>
      <w:r w:rsidR="00A74B96">
        <w:t>completing</w:t>
      </w:r>
      <w:r w:rsidR="00A74B96" w:rsidRPr="007D1437">
        <w:t xml:space="preserve"> </w:t>
      </w:r>
      <w:r w:rsidRPr="007D1437">
        <w:t xml:space="preserve">chemical </w:t>
      </w:r>
      <w:r w:rsidR="00A74B96" w:rsidRPr="007D1437">
        <w:t>analys</w:t>
      </w:r>
      <w:r w:rsidR="00A74B96">
        <w:t>e</w:t>
      </w:r>
      <w:r w:rsidR="00A74B96" w:rsidRPr="007D1437">
        <w:t xml:space="preserve">s </w:t>
      </w:r>
      <w:r w:rsidRPr="007D1437">
        <w:t>of tens of thousands of samples. The former project may take a couple of weeks and the latter could span many decades. If data from a single long</w:t>
      </w:r>
      <w:r w:rsidR="005931CB">
        <w:t>-</w:t>
      </w:r>
      <w:r w:rsidRPr="007D1437">
        <w:t xml:space="preserve">duration programme or multiple smaller projects carried out over a long period are to be compared, or used to produce seamless geochemical maps, then strategies need to be adopted to mitigate any changes that may occur to the methodology over a long time. Figure </w:t>
      </w:r>
      <w:r w:rsidR="004032FE">
        <w:t>8.</w:t>
      </w:r>
      <w:r w:rsidRPr="007D1437">
        <w:t>1 from the original Geochemical Atlas of Alaska</w:t>
      </w:r>
      <w:r w:rsidRPr="007D1437">
        <w:rPr>
          <w:rStyle w:val="FootnoteReference"/>
        </w:rPr>
        <w:footnoteReference w:id="1"/>
      </w:r>
      <w:r w:rsidRPr="007D1437">
        <w:t xml:space="preserve"> (Weaver </w:t>
      </w:r>
      <w:r w:rsidR="00A26595" w:rsidRPr="00A26595">
        <w:rPr>
          <w:i/>
        </w:rPr>
        <w:t>et al.</w:t>
      </w:r>
      <w:r w:rsidRPr="007D1437">
        <w:t>, 1983) illustrates the problem of combining disparate data sets. The prominent geochemical features visible relate to map sheet boundaries rather than any real natural geochemical variation. The results from the different map sheets need to be levelled such that a seamless geochemical map can be produced, irrespective of field campaign boundaries.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D1C74" w14:paraId="110F72C6" w14:textId="77777777" w:rsidTr="004032FE">
        <w:trPr>
          <w:jc w:val="center"/>
        </w:trPr>
        <w:tc>
          <w:tcPr>
            <w:tcW w:w="9345" w:type="dxa"/>
            <w:vAlign w:val="center"/>
          </w:tcPr>
          <w:p w14:paraId="6FC91AA1" w14:textId="77777777" w:rsidR="00ED1C74" w:rsidRDefault="00ED1C74" w:rsidP="004032FE">
            <w:pPr>
              <w:jc w:val="center"/>
            </w:pPr>
          </w:p>
        </w:tc>
      </w:tr>
      <w:tr w:rsidR="00ED1C74" w14:paraId="2041114C" w14:textId="77777777" w:rsidTr="004032FE">
        <w:trPr>
          <w:jc w:val="center"/>
        </w:trPr>
        <w:tc>
          <w:tcPr>
            <w:tcW w:w="9345" w:type="dxa"/>
            <w:vAlign w:val="center"/>
          </w:tcPr>
          <w:p w14:paraId="18B2D925" w14:textId="100A3B74" w:rsidR="00ED1C74" w:rsidRDefault="004032FE" w:rsidP="004032FE">
            <w:pPr>
              <w:jc w:val="center"/>
            </w:pPr>
            <w:r>
              <w:rPr>
                <w:noProof/>
              </w:rPr>
              <w:drawing>
                <wp:inline distT="0" distB="0" distL="0" distR="0" wp14:anchorId="73979014" wp14:editId="6C9DB2D6">
                  <wp:extent cx="5362323" cy="4844529"/>
                  <wp:effectExtent l="19050" t="19050" r="10160" b="1333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14">
                            <a:extLst>
                              <a:ext uri="{28A0092B-C50C-407E-A947-70E740481C1C}">
                                <a14:useLocalDpi xmlns:a14="http://schemas.microsoft.com/office/drawing/2010/main"/>
                              </a:ext>
                            </a:extLst>
                          </a:blip>
                          <a:srcRect r="-1"/>
                          <a:stretch/>
                        </pic:blipFill>
                        <pic:spPr bwMode="auto">
                          <a:xfrm>
                            <a:off x="0" y="0"/>
                            <a:ext cx="5363374" cy="484547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bl>
    <w:p w14:paraId="01600F67" w14:textId="34097889" w:rsidR="00ED1C74" w:rsidRPr="00ED1C74" w:rsidRDefault="004032FE" w:rsidP="004032FE">
      <w:pPr>
        <w:pStyle w:val="Caption"/>
      </w:pPr>
      <w:r w:rsidRPr="004032FE">
        <w:t xml:space="preserve">Figure 8.1. Cobalt distribution map from the original Geochemical Atlas of Alaska (Weaver </w:t>
      </w:r>
      <w:r w:rsidR="00A26595" w:rsidRPr="00A26595">
        <w:t>et al.</w:t>
      </w:r>
      <w:r w:rsidRPr="004032FE">
        <w:t xml:space="preserve">, 1983) modified by Smith </w:t>
      </w:r>
      <w:r w:rsidR="00A26595" w:rsidRPr="00A26595">
        <w:t>et al.</w:t>
      </w:r>
      <w:r w:rsidRPr="004032FE">
        <w:t xml:space="preserve"> (2013, Fig. 4, p.172). Large blocks of unlevelled data, identifiable by their straight</w:t>
      </w:r>
      <w:r w:rsidR="005931CB">
        <w:t>-</w:t>
      </w:r>
      <w:r w:rsidRPr="004032FE">
        <w:t>edge boundaries (map sheet boundaries), show the effects of uncorrected bias in the analytical results.</w:t>
      </w:r>
    </w:p>
    <w:p w14:paraId="0F77DD2F" w14:textId="792331A5" w:rsidR="00323BD2" w:rsidRPr="007D1437" w:rsidRDefault="00323BD2" w:rsidP="00323BD2">
      <w:pPr>
        <w:pStyle w:val="Paragraph"/>
      </w:pPr>
      <w:r w:rsidRPr="007D1437">
        <w:t xml:space="preserve">This chapter discusses the strategies and methods available to make existing geochemical data sets more compatible and recommends how we should future proof our geochemical data. The primary method described is that of parametric data levelling </w:t>
      </w:r>
      <w:r w:rsidR="00A74B96">
        <w:t>with</w:t>
      </w:r>
      <w:r w:rsidR="00A74B96" w:rsidRPr="007D1437">
        <w:t xml:space="preserve"> </w:t>
      </w:r>
      <w:r w:rsidRPr="007D1437">
        <w:t xml:space="preserve">real examples from the British Geological Survey’s (BGS) G-BASE project (Johnson </w:t>
      </w:r>
      <w:r w:rsidR="00A26595" w:rsidRPr="00A26595">
        <w:rPr>
          <w:i/>
        </w:rPr>
        <w:t>et al.</w:t>
      </w:r>
      <w:r w:rsidRPr="007D1437">
        <w:t xml:space="preserve">, 2005; Everett </w:t>
      </w:r>
      <w:r w:rsidR="00A26595" w:rsidRPr="00A26595">
        <w:rPr>
          <w:i/>
        </w:rPr>
        <w:t>et al.</w:t>
      </w:r>
      <w:r w:rsidRPr="007D1437">
        <w:t xml:space="preserve">, 2019). </w:t>
      </w:r>
    </w:p>
    <w:p w14:paraId="046CFEB6" w14:textId="225AE248" w:rsidR="00323BD2" w:rsidRPr="007D1437" w:rsidRDefault="00323BD2" w:rsidP="00323BD2">
      <w:pPr>
        <w:pStyle w:val="Paragraph"/>
      </w:pPr>
      <w:r w:rsidRPr="007D1437">
        <w:lastRenderedPageBreak/>
        <w:t xml:space="preserve">Before the advent of global recommendations to standardise methods of collecting and analysing geochemical samples (Darnley </w:t>
      </w:r>
      <w:r w:rsidR="00A26595" w:rsidRPr="00A26595">
        <w:rPr>
          <w:i/>
        </w:rPr>
        <w:t>et al.</w:t>
      </w:r>
      <w:r w:rsidRPr="007D1437">
        <w:t>, 1995), it was not easy to combine or compare the geochemical results generated by different projects and organisations at local through to global scales. Better coordination of procedures has meant that it is now easier to compare directly regional geochemical data sets from around the globe (</w:t>
      </w:r>
      <w:r w:rsidR="00A26595" w:rsidRPr="00A26595">
        <w:rPr>
          <w:i/>
          <w:iCs/>
        </w:rPr>
        <w:t>e.g.</w:t>
      </w:r>
      <w:r w:rsidRPr="007D1437">
        <w:t xml:space="preserve">, Reimann </w:t>
      </w:r>
      <w:r w:rsidR="00A26595" w:rsidRPr="00A26595">
        <w:rPr>
          <w:i/>
        </w:rPr>
        <w:t>et al.</w:t>
      </w:r>
      <w:r w:rsidRPr="007D1437">
        <w:t>, 2012)</w:t>
      </w:r>
      <w:r w:rsidR="00957FC9">
        <w:t>.</w:t>
      </w:r>
      <w:r w:rsidRPr="007D1437">
        <w:t xml:space="preserve"> </w:t>
      </w:r>
      <w:r w:rsidR="00957FC9">
        <w:t>H</w:t>
      </w:r>
      <w:r w:rsidRPr="007D1437">
        <w:t>ence, useful and meaningful variations in the distribution of chemical elements can be described and discussed with confidence. A particularly important part of the recommendations is the use of control samples in the chemical analysis</w:t>
      </w:r>
      <w:r w:rsidR="009D6A06">
        <w:t xml:space="preserve">. </w:t>
      </w:r>
      <w:r w:rsidRPr="007D1437">
        <w:t xml:space="preserve">The primary and secondary reference materials (abbreviated to PRMs and SRMs and </w:t>
      </w:r>
      <w:r w:rsidRPr="0036693A">
        <w:t xml:space="preserve">described in </w:t>
      </w:r>
      <w:r w:rsidRPr="00957FC9">
        <w:t xml:space="preserve">Chapter </w:t>
      </w:r>
      <w:r w:rsidR="0036693A" w:rsidRPr="00957FC9">
        <w:t>5</w:t>
      </w:r>
      <w:r w:rsidRPr="00957FC9">
        <w:t xml:space="preserve"> of this </w:t>
      </w:r>
      <w:r w:rsidR="00913E67" w:rsidRPr="00957FC9">
        <w:t>M</w:t>
      </w:r>
      <w:r w:rsidRPr="00957FC9">
        <w:t>anual)</w:t>
      </w:r>
      <w:r w:rsidRPr="007D1437">
        <w:t xml:space="preserve"> can be used to level chemical results generated over a long </w:t>
      </w:r>
      <w:r w:rsidR="00E259DA">
        <w:t>time</w:t>
      </w:r>
      <w:r w:rsidRPr="007D1437">
        <w:t>. It is necessary that the reference samples have been regularly submitted for analysis over the period the project lasts, and that the reference materials cover the range of concentrations for the elements being determined.</w:t>
      </w:r>
    </w:p>
    <w:p w14:paraId="64744D27" w14:textId="0A5BF51B" w:rsidR="00323BD2" w:rsidRDefault="0036693A" w:rsidP="00323BD2">
      <w:pPr>
        <w:pStyle w:val="Heading2"/>
      </w:pPr>
      <w:bookmarkStart w:id="7" w:name="_Toc92056810"/>
      <w:bookmarkStart w:id="8" w:name="_Toc92056908"/>
      <w:bookmarkStart w:id="9" w:name="_Toc106354224"/>
      <w:r>
        <w:t>8</w:t>
      </w:r>
      <w:r w:rsidR="00323BD2" w:rsidRPr="0047565D">
        <w:t>.</w:t>
      </w:r>
      <w:r w:rsidR="00323BD2">
        <w:t>2</w:t>
      </w:r>
      <w:r w:rsidR="00323BD2" w:rsidRPr="0047565D">
        <w:t xml:space="preserve">. </w:t>
      </w:r>
      <w:r w:rsidR="00323BD2">
        <w:t>Data levelling</w:t>
      </w:r>
      <w:bookmarkEnd w:id="7"/>
      <w:bookmarkEnd w:id="8"/>
      <w:bookmarkEnd w:id="9"/>
    </w:p>
    <w:p w14:paraId="5CC0C47B" w14:textId="7ADF9B90" w:rsidR="00342DE7" w:rsidRPr="007D1437" w:rsidRDefault="00342DE7" w:rsidP="00342DE7">
      <w:pPr>
        <w:pStyle w:val="BodyText"/>
      </w:pPr>
      <w:r w:rsidRPr="007D1437">
        <w:t>All the procedures applied to geochemical results after receipt from the analytical laboratory to make the</w:t>
      </w:r>
      <w:r w:rsidR="00492A94">
        <w:t>m</w:t>
      </w:r>
      <w:r w:rsidRPr="007D1437">
        <w:t xml:space="preserve"> fit for the purpose of their intended use are collectively referred to as </w:t>
      </w:r>
      <w:r w:rsidRPr="00492A94">
        <w:rPr>
          <w:i/>
          <w:iCs/>
        </w:rPr>
        <w:t>data conditioning</w:t>
      </w:r>
      <w:r w:rsidRPr="007D1437">
        <w:t xml:space="preserve"> (Johnson </w:t>
      </w:r>
      <w:r w:rsidR="00A26595" w:rsidRPr="00A26595">
        <w:rPr>
          <w:i/>
        </w:rPr>
        <w:t>et al.</w:t>
      </w:r>
      <w:r w:rsidRPr="007D1437">
        <w:t xml:space="preserve">, 2018). The process of adjusting a set of results to combine it with another existing set to give a single seamless geochemical map is called </w:t>
      </w:r>
      <w:r w:rsidRPr="00492A94">
        <w:rPr>
          <w:i/>
          <w:iCs/>
        </w:rPr>
        <w:t>data levelling</w:t>
      </w:r>
      <w:r w:rsidRPr="007D1437">
        <w:t xml:space="preserve">. </w:t>
      </w:r>
      <w:r w:rsidR="00C21CC2" w:rsidRPr="0036693A">
        <w:t>It should be noted that data conditioning includes procedures to assess whether data levelling is needed. Levelling</w:t>
      </w:r>
      <w:r w:rsidRPr="0036693A">
        <w:t xml:space="preserve"> is akin to data normalisation in which results, measured under different conditions</w:t>
      </w:r>
      <w:r w:rsidRPr="007D1437">
        <w:t>, are adjusted to a notionally common scale or references. The more general term ‘</w:t>
      </w:r>
      <w:r w:rsidRPr="003A10D3">
        <w:rPr>
          <w:i/>
          <w:iCs/>
        </w:rPr>
        <w:t>levelling</w:t>
      </w:r>
      <w:r w:rsidRPr="007D1437">
        <w:t xml:space="preserve">’ is preferred here as the process can be required whether or not </w:t>
      </w:r>
      <w:r w:rsidR="00E259DA">
        <w:t xml:space="preserve">the </w:t>
      </w:r>
      <w:r w:rsidRPr="007D1437">
        <w:t>conditions of analysis are the same</w:t>
      </w:r>
      <w:r w:rsidR="00492A94">
        <w:t xml:space="preserve"> (see also Annexe</w:t>
      </w:r>
      <w:r w:rsidR="003A10D3">
        <w:t>s</w:t>
      </w:r>
      <w:r w:rsidR="00492A94">
        <w:t xml:space="preserve"> A2.1 </w:t>
      </w:r>
      <w:r w:rsidR="002E1A4F">
        <w:t xml:space="preserve">&amp; A2.2 </w:t>
      </w:r>
      <w:r w:rsidR="00492A94">
        <w:t>in this Manual)</w:t>
      </w:r>
      <w:r w:rsidRPr="007D1437">
        <w:t>.</w:t>
      </w:r>
    </w:p>
    <w:p w14:paraId="6A3E916D" w14:textId="06614E11" w:rsidR="00342DE7" w:rsidRPr="00291B31" w:rsidRDefault="00342DE7" w:rsidP="00342DE7">
      <w:pPr>
        <w:pStyle w:val="Paragraph"/>
      </w:pPr>
      <w:r w:rsidRPr="007D1437">
        <w:t xml:space="preserve">It must be </w:t>
      </w:r>
      <w:r w:rsidRPr="00291B31">
        <w:t xml:space="preserve">emphasised that, if the standard methods for sampling and analysis, as described in this </w:t>
      </w:r>
      <w:r w:rsidR="00913E67" w:rsidRPr="00291B31">
        <w:t>M</w:t>
      </w:r>
      <w:r w:rsidRPr="00291B31">
        <w:t>anual are used</w:t>
      </w:r>
      <w:r w:rsidR="00865D31" w:rsidRPr="00291B31">
        <w:t xml:space="preserve"> (see Section §8.2.1 below)</w:t>
      </w:r>
      <w:r w:rsidRPr="00291B31">
        <w:t>, the process required is initially one of inspection to see whether the results need levelling. It is only after exceptional circumstances that the results will need to be levelled.</w:t>
      </w:r>
    </w:p>
    <w:p w14:paraId="7D5DEE44" w14:textId="6D2E00A2" w:rsidR="00342DE7" w:rsidRPr="007D1437" w:rsidRDefault="00342DE7" w:rsidP="00342DE7">
      <w:pPr>
        <w:pStyle w:val="Paragraph"/>
      </w:pPr>
      <w:r w:rsidRPr="00291B31">
        <w:rPr>
          <w:color w:val="000000" w:themeColor="text1"/>
        </w:rPr>
        <w:t xml:space="preserve">Such exceptional circumstances may arise </w:t>
      </w:r>
      <w:r w:rsidR="009D6A06" w:rsidRPr="00291B31">
        <w:rPr>
          <w:color w:val="000000" w:themeColor="text1"/>
        </w:rPr>
        <w:t xml:space="preserve">if there is a change during </w:t>
      </w:r>
      <w:r w:rsidR="00E259DA">
        <w:rPr>
          <w:color w:val="000000" w:themeColor="text1"/>
        </w:rPr>
        <w:t>a project</w:t>
      </w:r>
      <w:r w:rsidR="009D6A06" w:rsidRPr="00291B31">
        <w:rPr>
          <w:color w:val="000000" w:themeColor="text1"/>
        </w:rPr>
        <w:t xml:space="preserve"> that spans many years. </w:t>
      </w:r>
      <w:r w:rsidR="009D6A06" w:rsidRPr="003A10D3">
        <w:rPr>
          <w:i/>
          <w:iCs/>
          <w:color w:val="000000" w:themeColor="text1"/>
        </w:rPr>
        <w:t>For example</w:t>
      </w:r>
      <w:r w:rsidR="009D6A06" w:rsidRPr="00291B31">
        <w:rPr>
          <w:color w:val="000000" w:themeColor="text1"/>
        </w:rPr>
        <w:t xml:space="preserve">, </w:t>
      </w:r>
      <w:r w:rsidRPr="00291B31">
        <w:rPr>
          <w:color w:val="000000" w:themeColor="text1"/>
        </w:rPr>
        <w:t xml:space="preserve">the analytical method </w:t>
      </w:r>
      <w:r w:rsidR="009D6A06" w:rsidRPr="00291B31">
        <w:rPr>
          <w:color w:val="000000" w:themeColor="text1"/>
        </w:rPr>
        <w:t>may change (including subtle changes to the extraction procedure)</w:t>
      </w:r>
      <w:r w:rsidRPr="00291B31">
        <w:rPr>
          <w:color w:val="000000" w:themeColor="text1"/>
        </w:rPr>
        <w:t xml:space="preserve"> or the analytical instrument </w:t>
      </w:r>
      <w:r w:rsidR="009A4963" w:rsidRPr="00291B31">
        <w:rPr>
          <w:color w:val="000000" w:themeColor="text1"/>
        </w:rPr>
        <w:t xml:space="preserve">used for </w:t>
      </w:r>
      <w:r w:rsidRPr="00291B31">
        <w:rPr>
          <w:color w:val="000000" w:themeColor="text1"/>
        </w:rPr>
        <w:t xml:space="preserve">the analyses undergoes significant modification, like a replacement </w:t>
      </w:r>
      <w:r w:rsidR="0074286A" w:rsidRPr="00291B31">
        <w:rPr>
          <w:color w:val="000000" w:themeColor="text1"/>
        </w:rPr>
        <w:t xml:space="preserve">of an </w:t>
      </w:r>
      <w:r w:rsidRPr="00291B31">
        <w:rPr>
          <w:color w:val="000000" w:themeColor="text1"/>
        </w:rPr>
        <w:t xml:space="preserve">X-ray fluorescence tube. </w:t>
      </w:r>
      <w:r w:rsidR="00795656">
        <w:t xml:space="preserve">Upon the completion of </w:t>
      </w:r>
      <w:r w:rsidRPr="00291B31">
        <w:t xml:space="preserve">a project that has spanned many years or even decades, a final levelling process to ensure the data fits </w:t>
      </w:r>
      <w:r w:rsidR="00795656">
        <w:t>with</w:t>
      </w:r>
      <w:r w:rsidRPr="00291B31">
        <w:t xml:space="preserve"> other international data sets may also be required. The high</w:t>
      </w:r>
      <w:r w:rsidR="00795656">
        <w:t>-</w:t>
      </w:r>
      <w:r w:rsidRPr="00291B31">
        <w:t>resolution baseline geochemical mapping of the United Kingdom (UK) using stream sediment</w:t>
      </w:r>
      <w:r w:rsidR="0074286A" w:rsidRPr="00291B31">
        <w:t xml:space="preserve"> sample</w:t>
      </w:r>
      <w:r w:rsidRPr="00291B31">
        <w:t xml:space="preserve">s (the G-BASE project) spanned more than forty years during which time analytical methods improved and were changed. This has required several periods of levelling that are summarised in Table </w:t>
      </w:r>
      <w:r w:rsidR="00ED3D9D" w:rsidRPr="00291B31">
        <w:t>8.</w:t>
      </w:r>
      <w:r w:rsidRPr="00291B31">
        <w:t xml:space="preserve">1. The final phase of levelling was to ensure the UK stream sediment geochemical atlas (Everett </w:t>
      </w:r>
      <w:r w:rsidR="00A26595" w:rsidRPr="00A26595">
        <w:rPr>
          <w:i/>
        </w:rPr>
        <w:t>et al.</w:t>
      </w:r>
      <w:r w:rsidRPr="00291B31">
        <w:t>, 2019) is compatible with other national stream sediment data sets from around the globe.</w:t>
      </w:r>
      <w:r w:rsidRPr="007D1437">
        <w:t xml:space="preserve">  </w:t>
      </w:r>
    </w:p>
    <w:p w14:paraId="178AA795" w14:textId="5152BF31" w:rsidR="00342DE7" w:rsidRPr="00665747" w:rsidRDefault="00CA2457" w:rsidP="00342DE7">
      <w:pPr>
        <w:pStyle w:val="Heading3"/>
      </w:pPr>
      <w:bookmarkStart w:id="10" w:name="_Toc92056811"/>
      <w:bookmarkStart w:id="11" w:name="_Toc92056909"/>
      <w:bookmarkStart w:id="12" w:name="_Toc106354225"/>
      <w:r>
        <w:t>8</w:t>
      </w:r>
      <w:r w:rsidR="00342DE7">
        <w:t>.2.1. Preparation of geochemical data prior to testing whether levelling is required</w:t>
      </w:r>
      <w:bookmarkEnd w:id="10"/>
      <w:bookmarkEnd w:id="11"/>
      <w:bookmarkEnd w:id="12"/>
    </w:p>
    <w:p w14:paraId="3D4BC2CA" w14:textId="1CC86B4F" w:rsidR="00342DE7" w:rsidRPr="007D1437" w:rsidRDefault="00342DE7" w:rsidP="00342DE7">
      <w:pPr>
        <w:pStyle w:val="BodyText"/>
      </w:pPr>
      <w:r w:rsidRPr="007D1437">
        <w:t>Before establishing whether a data set needs to be levelled relative to another, certain conditions need to be satisfied regarding the results:</w:t>
      </w:r>
    </w:p>
    <w:p w14:paraId="1E7C9A0C" w14:textId="77777777" w:rsidR="00342DE7" w:rsidRDefault="00342DE7" w:rsidP="00342DE7">
      <w:pPr>
        <w:pStyle w:val="BodyText"/>
      </w:pPr>
    </w:p>
    <w:p w14:paraId="2D2E8FF5" w14:textId="723FEFDF" w:rsidR="00342DE7" w:rsidRPr="00291B31" w:rsidRDefault="00342DE7" w:rsidP="00342DE7">
      <w:pPr>
        <w:pStyle w:val="ListParagraph"/>
        <w:numPr>
          <w:ilvl w:val="0"/>
          <w:numId w:val="29"/>
        </w:numPr>
        <w:ind w:left="709" w:hanging="349"/>
      </w:pPr>
      <w:r w:rsidRPr="00342DE7">
        <w:t>High</w:t>
      </w:r>
      <w:r w:rsidR="00795656">
        <w:t>-</w:t>
      </w:r>
      <w:r w:rsidRPr="00342DE7">
        <w:t xml:space="preserve">quality geochemical results have been received from the chemical laboratory and have been accepted as satisfactory. This is achieved by ensuring the analytical methodology </w:t>
      </w:r>
      <w:r w:rsidRPr="00291B31">
        <w:t>(as described in Chapter</w:t>
      </w:r>
      <w:r w:rsidR="00B35167" w:rsidRPr="00291B31">
        <w:t xml:space="preserve"> </w:t>
      </w:r>
      <w:r w:rsidR="00913E67" w:rsidRPr="00291B31">
        <w:t>6</w:t>
      </w:r>
      <w:r w:rsidRPr="00291B31">
        <w:t xml:space="preserve"> of this </w:t>
      </w:r>
      <w:r w:rsidR="00913E67" w:rsidRPr="00291B31">
        <w:t>M</w:t>
      </w:r>
      <w:r w:rsidRPr="00291B31">
        <w:t xml:space="preserve">anual) has been implemented, particularly </w:t>
      </w:r>
      <w:r w:rsidR="00795656">
        <w:t>concerning</w:t>
      </w:r>
      <w:r w:rsidRPr="00291B31">
        <w:t xml:space="preserve"> the inclusion of reference control samples</w:t>
      </w:r>
      <w:r w:rsidR="00913E67" w:rsidRPr="00291B31">
        <w:t xml:space="preserve"> (see Chapter 7 of this Manual)</w:t>
      </w:r>
      <w:r w:rsidRPr="00291B31">
        <w:t xml:space="preserve">. </w:t>
      </w:r>
    </w:p>
    <w:p w14:paraId="6B42A9E5" w14:textId="77777777" w:rsidR="007138DB" w:rsidRPr="00E7604D" w:rsidRDefault="00342DE7" w:rsidP="00342DE7">
      <w:pPr>
        <w:pStyle w:val="ListParagraph"/>
        <w:numPr>
          <w:ilvl w:val="0"/>
          <w:numId w:val="29"/>
        </w:numPr>
        <w:ind w:left="709" w:hanging="349"/>
      </w:pPr>
      <w:r w:rsidRPr="00E7604D">
        <w:t xml:space="preserve">The control sample data </w:t>
      </w:r>
      <w:r w:rsidR="00BE775F" w:rsidRPr="00E7604D">
        <w:t>are</w:t>
      </w:r>
      <w:r w:rsidRPr="00E7604D">
        <w:t xml:space="preserve"> available as a supplement to the sample results and should also be stored in the geochemical database. All too often control samples are omitted </w:t>
      </w:r>
      <w:r w:rsidRPr="00E7604D">
        <w:lastRenderedPageBreak/>
        <w:t xml:space="preserve">from geochemical data sets, so that users do not misuse the control data as </w:t>
      </w:r>
      <w:r w:rsidR="002442F0" w:rsidRPr="00E7604D">
        <w:t>‘</w:t>
      </w:r>
      <w:r w:rsidRPr="00E7604D">
        <w:t xml:space="preserve">real </w:t>
      </w:r>
      <w:proofErr w:type="gramStart"/>
      <w:r w:rsidRPr="00E7604D">
        <w:t>samples</w:t>
      </w:r>
      <w:r w:rsidR="002442F0" w:rsidRPr="00E7604D">
        <w:t>’</w:t>
      </w:r>
      <w:proofErr w:type="gramEnd"/>
      <w:r w:rsidRPr="00E7604D">
        <w:t xml:space="preserve">. But this omission makes it more difficult to </w:t>
      </w:r>
      <w:r w:rsidR="009A4963" w:rsidRPr="00E7604D">
        <w:t xml:space="preserve">undertake </w:t>
      </w:r>
      <w:r w:rsidRPr="00E7604D">
        <w:t>any levelling of the results many years in the future by those not involved in the original project.</w:t>
      </w:r>
      <w:r w:rsidR="009D6A06" w:rsidRPr="00E7604D">
        <w:t xml:space="preserve"> </w:t>
      </w:r>
    </w:p>
    <w:tbl>
      <w:tblPr>
        <w:tblStyle w:val="TableGrid"/>
        <w:tblW w:w="0" w:type="auto"/>
        <w:shd w:val="clear" w:color="auto" w:fill="FFFFCC"/>
        <w:tblLook w:val="04A0" w:firstRow="1" w:lastRow="0" w:firstColumn="1" w:lastColumn="0" w:noHBand="0" w:noVBand="1"/>
      </w:tblPr>
      <w:tblGrid>
        <w:gridCol w:w="9345"/>
      </w:tblGrid>
      <w:tr w:rsidR="007138DB" w14:paraId="5A1FA2C9" w14:textId="77777777" w:rsidTr="007138DB">
        <w:tc>
          <w:tcPr>
            <w:tcW w:w="9345" w:type="dxa"/>
            <w:tcBorders>
              <w:top w:val="nil"/>
              <w:left w:val="nil"/>
              <w:bottom w:val="single" w:sz="4" w:space="0" w:color="auto"/>
              <w:right w:val="nil"/>
            </w:tcBorders>
            <w:shd w:val="clear" w:color="auto" w:fill="auto"/>
          </w:tcPr>
          <w:p w14:paraId="324347A0" w14:textId="77777777" w:rsidR="007138DB" w:rsidRPr="0011516F" w:rsidRDefault="007138DB" w:rsidP="00946033">
            <w:pPr>
              <w:rPr>
                <w:b/>
                <w:bCs/>
              </w:rPr>
            </w:pPr>
          </w:p>
        </w:tc>
      </w:tr>
      <w:tr w:rsidR="007138DB" w14:paraId="5654D03B" w14:textId="77777777" w:rsidTr="007138DB">
        <w:trPr>
          <w:trHeight w:hRule="exact" w:val="592"/>
        </w:trPr>
        <w:tc>
          <w:tcPr>
            <w:tcW w:w="9345" w:type="dxa"/>
            <w:tcBorders>
              <w:top w:val="single" w:sz="4" w:space="0" w:color="auto"/>
              <w:bottom w:val="single" w:sz="4" w:space="0" w:color="auto"/>
            </w:tcBorders>
            <w:shd w:val="clear" w:color="auto" w:fill="FFFFCC"/>
          </w:tcPr>
          <w:p w14:paraId="3CD3A71B" w14:textId="0A15B5A7" w:rsidR="007138DB" w:rsidRPr="009D6A06" w:rsidRDefault="007138DB" w:rsidP="007138DB">
            <w:pPr>
              <w:pStyle w:val="BodyText"/>
            </w:pPr>
            <w:r w:rsidRPr="0011516F">
              <w:rPr>
                <w:b/>
                <w:bCs/>
              </w:rPr>
              <w:t>Important note</w:t>
            </w:r>
            <w:r>
              <w:rPr>
                <w:b/>
                <w:bCs/>
              </w:rPr>
              <w:t xml:space="preserve"> 1</w:t>
            </w:r>
            <w:r w:rsidRPr="00A12C43">
              <w:rPr>
                <w:b/>
                <w:bCs/>
              </w:rPr>
              <w:t>:</w:t>
            </w:r>
            <w:r w:rsidRPr="009D6A06">
              <w:t xml:space="preserve"> </w:t>
            </w:r>
            <w:r>
              <w:t>Therefore, an important prerequisite, d</w:t>
            </w:r>
            <w:r w:rsidRPr="009D6A06">
              <w:t xml:space="preserve">uring the design of a project </w:t>
            </w:r>
            <w:r>
              <w:t xml:space="preserve">geochemical </w:t>
            </w:r>
            <w:r w:rsidRPr="009D6A06">
              <w:t>database</w:t>
            </w:r>
            <w:r>
              <w:t>,</w:t>
            </w:r>
            <w:r w:rsidRPr="009D6A06">
              <w:t xml:space="preserve"> </w:t>
            </w:r>
            <w:r>
              <w:t xml:space="preserve">is that </w:t>
            </w:r>
            <w:r w:rsidRPr="009D6A06">
              <w:t xml:space="preserve">the control samples must be an integral part of </w:t>
            </w:r>
            <w:r>
              <w:t>the</w:t>
            </w:r>
            <w:r w:rsidRPr="009D6A06">
              <w:t xml:space="preserve"> database.</w:t>
            </w:r>
          </w:p>
          <w:p w14:paraId="0AB4D4CF" w14:textId="1EBE91A0" w:rsidR="007138DB" w:rsidRDefault="007138DB" w:rsidP="007138DB">
            <w:pPr>
              <w:pStyle w:val="BodyText"/>
            </w:pPr>
          </w:p>
        </w:tc>
      </w:tr>
      <w:tr w:rsidR="007138DB" w14:paraId="001A5513" w14:textId="77777777" w:rsidTr="007138DB">
        <w:tc>
          <w:tcPr>
            <w:tcW w:w="9345" w:type="dxa"/>
            <w:tcBorders>
              <w:top w:val="single" w:sz="4" w:space="0" w:color="auto"/>
              <w:left w:val="nil"/>
              <w:bottom w:val="nil"/>
              <w:right w:val="nil"/>
            </w:tcBorders>
            <w:shd w:val="clear" w:color="auto" w:fill="auto"/>
          </w:tcPr>
          <w:p w14:paraId="59F3FC13" w14:textId="77777777" w:rsidR="007138DB" w:rsidRPr="0011516F" w:rsidRDefault="007138DB" w:rsidP="007138DB">
            <w:pPr>
              <w:pStyle w:val="BodyText"/>
              <w:rPr>
                <w:b/>
                <w:bCs/>
              </w:rPr>
            </w:pPr>
          </w:p>
        </w:tc>
      </w:tr>
    </w:tbl>
    <w:p w14:paraId="609333F1" w14:textId="77777777" w:rsidR="00342DE7" w:rsidRPr="00342DE7" w:rsidRDefault="00342DE7" w:rsidP="00342DE7">
      <w:pPr>
        <w:pStyle w:val="ListParagraph"/>
        <w:numPr>
          <w:ilvl w:val="0"/>
          <w:numId w:val="29"/>
        </w:numPr>
        <w:ind w:left="709" w:hanging="349"/>
      </w:pPr>
      <w:r w:rsidRPr="00342DE7">
        <w:t>Note that it should be the laboratory’s responsibility to ensure the accuracy of results and that any observed analytical bias is removed before it is accepted by the applied geochemist. This can be verified by repeated analyses of primary reference standards and internal laboratory procedures to correct for analytical bias. The results received from a specific laboratory should be seen, therefore, as consistent and initially requiring no further levelling.</w:t>
      </w:r>
    </w:p>
    <w:p w14:paraId="0A3C965F" w14:textId="77777777" w:rsidR="00342DE7" w:rsidRDefault="00342DE7" w:rsidP="00342DE7">
      <w:pPr>
        <w:rPr>
          <w:rFonts w:cs="Times New Roman"/>
        </w:rPr>
      </w:pPr>
    </w:p>
    <w:p w14:paraId="1E84DC4C" w14:textId="6E14CCB3" w:rsidR="0074286A" w:rsidRDefault="00342DE7" w:rsidP="00342DE7">
      <w:pPr>
        <w:pStyle w:val="Paragraph"/>
      </w:pPr>
      <w:r w:rsidRPr="007D1437">
        <w:t xml:space="preserve">It will be the applied geochemist’s responsibility to routinely carry out checking of the results for any analytical bias. This is achieved by inserting a range of SRMs that are ‘blind’ to the analyst to provide results that can be used in the parametric levelling procedure described below. </w:t>
      </w:r>
      <w:proofErr w:type="gramStart"/>
      <w:r w:rsidR="009A4963">
        <w:t>Sufficient</w:t>
      </w:r>
      <w:r w:rsidR="009A4963" w:rsidRPr="007D1437">
        <w:t xml:space="preserve"> </w:t>
      </w:r>
      <w:r w:rsidRPr="007D1437">
        <w:t xml:space="preserve">quantities </w:t>
      </w:r>
      <w:r w:rsidRPr="00F44BF5">
        <w:rPr>
          <w:color w:val="000000" w:themeColor="text1"/>
        </w:rPr>
        <w:t>of</w:t>
      </w:r>
      <w:proofErr w:type="gramEnd"/>
      <w:r w:rsidRPr="00F44BF5">
        <w:rPr>
          <w:color w:val="000000" w:themeColor="text1"/>
        </w:rPr>
        <w:t xml:space="preserve"> </w:t>
      </w:r>
      <w:r w:rsidR="00EA7D25" w:rsidRPr="00F44BF5">
        <w:rPr>
          <w:color w:val="000000" w:themeColor="text1"/>
        </w:rPr>
        <w:t xml:space="preserve">PRMs and </w:t>
      </w:r>
      <w:r w:rsidRPr="00F44BF5">
        <w:rPr>
          <w:color w:val="000000" w:themeColor="text1"/>
        </w:rPr>
        <w:t xml:space="preserve">SRMs </w:t>
      </w:r>
      <w:r w:rsidRPr="007D1437">
        <w:t xml:space="preserve">need to be available to service long contracts with an analytical laboratory or laboratories as the analytical requirements (that is, analytical method and laboratory) are likely to change over a long period of </w:t>
      </w:r>
      <w:r w:rsidR="00493054">
        <w:t>many decades</w:t>
      </w:r>
      <w:r w:rsidRPr="007D1437">
        <w:t>.</w:t>
      </w:r>
    </w:p>
    <w:p w14:paraId="0D535CC5" w14:textId="2EFDE69D" w:rsidR="0074286A" w:rsidRPr="004E4F81" w:rsidRDefault="0074286A" w:rsidP="0074286A">
      <w:pPr>
        <w:pStyle w:val="Tablecaptions"/>
      </w:pPr>
      <w:r w:rsidRPr="004E4F81">
        <w:t>Table 8.1. A summary of the levelling reference points for the British Geological Survey’s G</w:t>
      </w:r>
      <w:r w:rsidR="0024333B">
        <w:t>-</w:t>
      </w:r>
      <w:r w:rsidRPr="004E4F81">
        <w:t>BASE stream sediment data</w:t>
      </w:r>
      <w:r w:rsidR="00493054">
        <w:t>.</w:t>
      </w:r>
    </w:p>
    <w:tbl>
      <w:tblPr>
        <w:tblStyle w:val="TableGrid"/>
        <w:tblW w:w="0" w:type="auto"/>
        <w:jc w:val="center"/>
        <w:tblLook w:val="04A0" w:firstRow="1" w:lastRow="0" w:firstColumn="1" w:lastColumn="0" w:noHBand="0" w:noVBand="1"/>
      </w:tblPr>
      <w:tblGrid>
        <w:gridCol w:w="2310"/>
        <w:gridCol w:w="2310"/>
        <w:gridCol w:w="4135"/>
      </w:tblGrid>
      <w:tr w:rsidR="0074286A" w:rsidRPr="0074286A" w14:paraId="0911B078" w14:textId="77777777" w:rsidTr="000D23FB">
        <w:trPr>
          <w:jc w:val="center"/>
        </w:trPr>
        <w:tc>
          <w:tcPr>
            <w:tcW w:w="2310" w:type="dxa"/>
            <w:shd w:val="clear" w:color="auto" w:fill="D9D9D9" w:themeFill="background1" w:themeFillShade="D9"/>
            <w:vAlign w:val="center"/>
          </w:tcPr>
          <w:p w14:paraId="521AA664" w14:textId="77777777" w:rsidR="0074286A" w:rsidRPr="0074286A" w:rsidRDefault="0074286A" w:rsidP="0074286A">
            <w:pPr>
              <w:jc w:val="center"/>
              <w:rPr>
                <w:rFonts w:cs="Times New Roman"/>
                <w:b/>
                <w:bCs/>
                <w:i/>
                <w:iCs/>
                <w:sz w:val="20"/>
                <w:szCs w:val="20"/>
              </w:rPr>
            </w:pPr>
            <w:r w:rsidRPr="0074286A">
              <w:rPr>
                <w:rFonts w:cs="Times New Roman"/>
                <w:b/>
                <w:bCs/>
                <w:i/>
                <w:iCs/>
                <w:sz w:val="20"/>
                <w:szCs w:val="20"/>
              </w:rPr>
              <w:t>Reference Point</w:t>
            </w:r>
          </w:p>
        </w:tc>
        <w:tc>
          <w:tcPr>
            <w:tcW w:w="2310" w:type="dxa"/>
            <w:shd w:val="clear" w:color="auto" w:fill="D9D9D9" w:themeFill="background1" w:themeFillShade="D9"/>
            <w:vAlign w:val="center"/>
          </w:tcPr>
          <w:p w14:paraId="636E2657" w14:textId="77777777" w:rsidR="0074286A" w:rsidRPr="0074286A" w:rsidRDefault="0074286A" w:rsidP="0074286A">
            <w:pPr>
              <w:jc w:val="center"/>
              <w:rPr>
                <w:rFonts w:cs="Times New Roman"/>
                <w:b/>
                <w:bCs/>
                <w:i/>
                <w:iCs/>
                <w:sz w:val="20"/>
                <w:szCs w:val="20"/>
              </w:rPr>
            </w:pPr>
            <w:r w:rsidRPr="0074286A">
              <w:rPr>
                <w:rFonts w:cs="Times New Roman"/>
                <w:b/>
                <w:bCs/>
                <w:i/>
                <w:iCs/>
                <w:sz w:val="20"/>
                <w:szCs w:val="20"/>
              </w:rPr>
              <w:t>Date of first levelling</w:t>
            </w:r>
          </w:p>
        </w:tc>
        <w:tc>
          <w:tcPr>
            <w:tcW w:w="4135" w:type="dxa"/>
            <w:shd w:val="clear" w:color="auto" w:fill="D9D9D9" w:themeFill="background1" w:themeFillShade="D9"/>
            <w:vAlign w:val="center"/>
          </w:tcPr>
          <w:p w14:paraId="13C1B38C" w14:textId="77777777" w:rsidR="0074286A" w:rsidRPr="0074286A" w:rsidRDefault="0074286A" w:rsidP="0074286A">
            <w:pPr>
              <w:jc w:val="center"/>
              <w:rPr>
                <w:rFonts w:cs="Times New Roman"/>
                <w:b/>
                <w:bCs/>
                <w:i/>
                <w:iCs/>
                <w:sz w:val="20"/>
                <w:szCs w:val="20"/>
              </w:rPr>
            </w:pPr>
            <w:r w:rsidRPr="0074286A">
              <w:rPr>
                <w:rFonts w:cs="Times New Roman"/>
                <w:b/>
                <w:bCs/>
                <w:i/>
                <w:iCs/>
                <w:sz w:val="20"/>
                <w:szCs w:val="20"/>
              </w:rPr>
              <w:t>Method</w:t>
            </w:r>
          </w:p>
        </w:tc>
      </w:tr>
      <w:tr w:rsidR="0074286A" w:rsidRPr="000B79E8" w14:paraId="5EA844EC" w14:textId="77777777" w:rsidTr="0074286A">
        <w:trPr>
          <w:jc w:val="center"/>
        </w:trPr>
        <w:tc>
          <w:tcPr>
            <w:tcW w:w="2310" w:type="dxa"/>
          </w:tcPr>
          <w:p w14:paraId="06AB9E53" w14:textId="77777777" w:rsidR="0074286A" w:rsidRPr="000B79E8" w:rsidRDefault="0074286A" w:rsidP="007C590E">
            <w:pPr>
              <w:rPr>
                <w:rFonts w:cs="Times New Roman"/>
                <w:sz w:val="20"/>
                <w:szCs w:val="20"/>
              </w:rPr>
            </w:pPr>
            <w:r w:rsidRPr="000B79E8">
              <w:rPr>
                <w:rFonts w:cs="Times New Roman"/>
                <w:sz w:val="20"/>
                <w:szCs w:val="20"/>
              </w:rPr>
              <w:t xml:space="preserve">North Scotland DC-OES </w:t>
            </w:r>
          </w:p>
        </w:tc>
        <w:tc>
          <w:tcPr>
            <w:tcW w:w="2310" w:type="dxa"/>
          </w:tcPr>
          <w:p w14:paraId="00E58882" w14:textId="77777777" w:rsidR="0074286A" w:rsidRPr="000B79E8" w:rsidRDefault="0074286A" w:rsidP="007C590E">
            <w:pPr>
              <w:jc w:val="center"/>
              <w:rPr>
                <w:rFonts w:cs="Times New Roman"/>
                <w:sz w:val="20"/>
                <w:szCs w:val="20"/>
              </w:rPr>
            </w:pPr>
            <w:r w:rsidRPr="000B79E8">
              <w:rPr>
                <w:rFonts w:cs="Times New Roman"/>
                <w:sz w:val="20"/>
                <w:szCs w:val="20"/>
              </w:rPr>
              <w:t>1970s</w:t>
            </w:r>
          </w:p>
        </w:tc>
        <w:tc>
          <w:tcPr>
            <w:tcW w:w="4135" w:type="dxa"/>
          </w:tcPr>
          <w:p w14:paraId="00B2991B" w14:textId="44FCDEBD" w:rsidR="0074286A" w:rsidRPr="000B79E8" w:rsidRDefault="0074286A" w:rsidP="007C590E">
            <w:pPr>
              <w:rPr>
                <w:rFonts w:cs="Times New Roman"/>
                <w:sz w:val="20"/>
                <w:szCs w:val="20"/>
              </w:rPr>
            </w:pPr>
            <w:r w:rsidRPr="000B79E8">
              <w:rPr>
                <w:rFonts w:cs="Times New Roman"/>
                <w:sz w:val="20"/>
                <w:szCs w:val="20"/>
              </w:rPr>
              <w:t xml:space="preserve">Parametric levelling using internal reference materials relative to </w:t>
            </w:r>
            <w:r w:rsidR="00493054">
              <w:rPr>
                <w:rFonts w:cs="Times New Roman"/>
                <w:sz w:val="20"/>
                <w:szCs w:val="20"/>
              </w:rPr>
              <w:t xml:space="preserve">the </w:t>
            </w:r>
            <w:r w:rsidRPr="000B79E8">
              <w:rPr>
                <w:rFonts w:cs="Times New Roman"/>
                <w:sz w:val="20"/>
                <w:szCs w:val="20"/>
              </w:rPr>
              <w:t>first batch of results</w:t>
            </w:r>
            <w:r w:rsidR="005B24A3">
              <w:rPr>
                <w:rFonts w:cs="Times New Roman"/>
                <w:sz w:val="20"/>
                <w:szCs w:val="20"/>
              </w:rPr>
              <w:t>.</w:t>
            </w:r>
          </w:p>
        </w:tc>
      </w:tr>
      <w:tr w:rsidR="0074286A" w:rsidRPr="000B79E8" w14:paraId="0B75363D" w14:textId="77777777" w:rsidTr="0074286A">
        <w:trPr>
          <w:jc w:val="center"/>
        </w:trPr>
        <w:tc>
          <w:tcPr>
            <w:tcW w:w="2310" w:type="dxa"/>
          </w:tcPr>
          <w:p w14:paraId="78690C33" w14:textId="77777777" w:rsidR="0074286A" w:rsidRPr="000B79E8" w:rsidRDefault="0074286A" w:rsidP="007C590E">
            <w:pPr>
              <w:rPr>
                <w:rFonts w:cs="Times New Roman"/>
                <w:sz w:val="20"/>
                <w:szCs w:val="20"/>
              </w:rPr>
            </w:pPr>
            <w:r w:rsidRPr="000B79E8">
              <w:rPr>
                <w:rFonts w:cs="Times New Roman"/>
                <w:sz w:val="20"/>
                <w:szCs w:val="20"/>
              </w:rPr>
              <w:t>Wales XRFS</w:t>
            </w:r>
          </w:p>
        </w:tc>
        <w:tc>
          <w:tcPr>
            <w:tcW w:w="2310" w:type="dxa"/>
          </w:tcPr>
          <w:p w14:paraId="7105F8C9" w14:textId="77777777" w:rsidR="0074286A" w:rsidRPr="000B79E8" w:rsidRDefault="0074286A" w:rsidP="007C590E">
            <w:pPr>
              <w:jc w:val="center"/>
              <w:rPr>
                <w:rFonts w:cs="Times New Roman"/>
                <w:sz w:val="20"/>
                <w:szCs w:val="20"/>
              </w:rPr>
            </w:pPr>
            <w:r w:rsidRPr="000B79E8">
              <w:rPr>
                <w:rFonts w:cs="Times New Roman"/>
                <w:sz w:val="20"/>
                <w:szCs w:val="20"/>
              </w:rPr>
              <w:t>1993</w:t>
            </w:r>
          </w:p>
        </w:tc>
        <w:tc>
          <w:tcPr>
            <w:tcW w:w="4135" w:type="dxa"/>
          </w:tcPr>
          <w:p w14:paraId="0D262564" w14:textId="33F9D606" w:rsidR="0074286A" w:rsidRPr="000B79E8" w:rsidRDefault="0074286A" w:rsidP="007C590E">
            <w:pPr>
              <w:rPr>
                <w:rFonts w:cs="Times New Roman"/>
                <w:sz w:val="20"/>
                <w:szCs w:val="20"/>
              </w:rPr>
            </w:pPr>
            <w:r w:rsidRPr="000B79E8">
              <w:rPr>
                <w:rFonts w:cs="Times New Roman"/>
                <w:sz w:val="20"/>
                <w:szCs w:val="20"/>
              </w:rPr>
              <w:t xml:space="preserve">All samples previously analysed by DC-OES levelled to </w:t>
            </w:r>
            <w:r w:rsidR="00493054">
              <w:rPr>
                <w:rFonts w:cs="Times New Roman"/>
                <w:sz w:val="20"/>
                <w:szCs w:val="20"/>
              </w:rPr>
              <w:t xml:space="preserve">the </w:t>
            </w:r>
            <w:r w:rsidRPr="000B79E8">
              <w:rPr>
                <w:rFonts w:cs="Times New Roman"/>
                <w:sz w:val="20"/>
                <w:szCs w:val="20"/>
              </w:rPr>
              <w:t xml:space="preserve">new XRFS method, using parametric levelling of internal reference materials repeatedly analysed by both methods. Some complete sample batches were also analysed by both methods to confirm </w:t>
            </w:r>
            <w:r w:rsidR="00493054">
              <w:rPr>
                <w:rFonts w:cs="Times New Roman"/>
                <w:sz w:val="20"/>
                <w:szCs w:val="20"/>
              </w:rPr>
              <w:t xml:space="preserve">the </w:t>
            </w:r>
            <w:r w:rsidRPr="000B79E8">
              <w:rPr>
                <w:rFonts w:cs="Times New Roman"/>
                <w:sz w:val="20"/>
                <w:szCs w:val="20"/>
              </w:rPr>
              <w:t>suitability of levelling</w:t>
            </w:r>
            <w:r w:rsidR="005B24A3">
              <w:rPr>
                <w:rFonts w:cs="Times New Roman"/>
                <w:sz w:val="20"/>
                <w:szCs w:val="20"/>
              </w:rPr>
              <w:t>.</w:t>
            </w:r>
          </w:p>
        </w:tc>
      </w:tr>
      <w:tr w:rsidR="0074286A" w:rsidRPr="000B79E8" w14:paraId="53979469" w14:textId="77777777" w:rsidTr="0074286A">
        <w:trPr>
          <w:jc w:val="center"/>
        </w:trPr>
        <w:tc>
          <w:tcPr>
            <w:tcW w:w="2310" w:type="dxa"/>
          </w:tcPr>
          <w:p w14:paraId="2AAE6B86" w14:textId="77777777" w:rsidR="0074286A" w:rsidRPr="000B79E8" w:rsidRDefault="0074286A" w:rsidP="007C590E">
            <w:pPr>
              <w:rPr>
                <w:rFonts w:cs="Times New Roman"/>
                <w:sz w:val="20"/>
                <w:szCs w:val="20"/>
              </w:rPr>
            </w:pPr>
            <w:r w:rsidRPr="000B79E8">
              <w:rPr>
                <w:rFonts w:cs="Times New Roman"/>
                <w:sz w:val="20"/>
                <w:szCs w:val="20"/>
              </w:rPr>
              <w:t>United Kingdom geochemical atlas</w:t>
            </w:r>
          </w:p>
        </w:tc>
        <w:tc>
          <w:tcPr>
            <w:tcW w:w="2310" w:type="dxa"/>
          </w:tcPr>
          <w:p w14:paraId="005FB15A" w14:textId="77777777" w:rsidR="0074286A" w:rsidRPr="000B79E8" w:rsidRDefault="0074286A" w:rsidP="007C590E">
            <w:pPr>
              <w:jc w:val="center"/>
              <w:rPr>
                <w:rFonts w:cs="Times New Roman"/>
                <w:sz w:val="20"/>
                <w:szCs w:val="20"/>
              </w:rPr>
            </w:pPr>
            <w:r w:rsidRPr="000B79E8">
              <w:rPr>
                <w:rFonts w:cs="Times New Roman"/>
                <w:sz w:val="20"/>
                <w:szCs w:val="20"/>
              </w:rPr>
              <w:t>2015</w:t>
            </w:r>
          </w:p>
        </w:tc>
        <w:tc>
          <w:tcPr>
            <w:tcW w:w="4135" w:type="dxa"/>
          </w:tcPr>
          <w:p w14:paraId="7223699D" w14:textId="64BC23E5" w:rsidR="0074286A" w:rsidRPr="000B79E8" w:rsidRDefault="0074286A" w:rsidP="007C590E">
            <w:pPr>
              <w:rPr>
                <w:rFonts w:cs="Times New Roman"/>
                <w:sz w:val="20"/>
                <w:szCs w:val="20"/>
              </w:rPr>
            </w:pPr>
            <w:r w:rsidRPr="000B79E8">
              <w:rPr>
                <w:rFonts w:cs="Times New Roman"/>
                <w:sz w:val="20"/>
                <w:szCs w:val="20"/>
              </w:rPr>
              <w:t>All stream sediment results were levelled to an international reference point using international reference materials</w:t>
            </w:r>
            <w:r w:rsidR="00D345FE">
              <w:rPr>
                <w:rFonts w:cs="Times New Roman"/>
                <w:sz w:val="20"/>
                <w:szCs w:val="20"/>
              </w:rPr>
              <w:t>.</w:t>
            </w:r>
          </w:p>
        </w:tc>
      </w:tr>
    </w:tbl>
    <w:p w14:paraId="2143FA67" w14:textId="00A94589" w:rsidR="00342DE7" w:rsidRPr="00665747" w:rsidRDefault="00CA2457" w:rsidP="00342DE7">
      <w:pPr>
        <w:pStyle w:val="Heading3"/>
      </w:pPr>
      <w:bookmarkStart w:id="13" w:name="_Toc92056812"/>
      <w:bookmarkStart w:id="14" w:name="_Toc92056910"/>
      <w:bookmarkStart w:id="15" w:name="_Toc106354226"/>
      <w:r>
        <w:t>8</w:t>
      </w:r>
      <w:r w:rsidR="00342DE7">
        <w:t>.2.</w:t>
      </w:r>
      <w:r>
        <w:t>2</w:t>
      </w:r>
      <w:r w:rsidR="00342DE7">
        <w:t>. Testing to see whether an analytical batch requires levelling</w:t>
      </w:r>
      <w:bookmarkEnd w:id="13"/>
      <w:bookmarkEnd w:id="14"/>
      <w:bookmarkEnd w:id="15"/>
    </w:p>
    <w:p w14:paraId="47EA1470" w14:textId="77777777" w:rsidR="00342DE7" w:rsidRDefault="00342DE7" w:rsidP="00342DE7">
      <w:pPr>
        <w:pStyle w:val="BodyText"/>
      </w:pPr>
      <w:r w:rsidRPr="007D1437">
        <w:t>Testing to see whether a newly received batch of analytical results requires any levelling can be done by two methods:</w:t>
      </w:r>
    </w:p>
    <w:p w14:paraId="7A1EF06A" w14:textId="77777777" w:rsidR="00342DE7" w:rsidRPr="007D1437" w:rsidRDefault="00342DE7" w:rsidP="00342DE7">
      <w:pPr>
        <w:pStyle w:val="BodyText"/>
      </w:pPr>
    </w:p>
    <w:p w14:paraId="0FFA09A6" w14:textId="0BBD9E14" w:rsidR="00342DE7" w:rsidRPr="00342DE7" w:rsidRDefault="00342DE7" w:rsidP="00342DE7">
      <w:pPr>
        <w:pStyle w:val="ListParagraph"/>
        <w:numPr>
          <w:ilvl w:val="0"/>
          <w:numId w:val="31"/>
        </w:numPr>
        <w:ind w:left="709" w:hanging="349"/>
      </w:pPr>
      <w:r w:rsidRPr="00F44BF5">
        <w:rPr>
          <w:color w:val="000000" w:themeColor="text1"/>
        </w:rPr>
        <w:t xml:space="preserve">Plotting </w:t>
      </w:r>
      <w:r w:rsidR="00EA7D25" w:rsidRPr="00F44BF5">
        <w:rPr>
          <w:color w:val="000000" w:themeColor="text1"/>
        </w:rPr>
        <w:t xml:space="preserve">spatial data to </w:t>
      </w:r>
      <w:r w:rsidR="00CA2457" w:rsidRPr="00F44BF5">
        <w:rPr>
          <w:color w:val="000000" w:themeColor="text1"/>
        </w:rPr>
        <w:t>generate</w:t>
      </w:r>
      <w:r w:rsidR="00EA7D25" w:rsidRPr="00F44BF5">
        <w:rPr>
          <w:color w:val="000000" w:themeColor="text1"/>
        </w:rPr>
        <w:t xml:space="preserve"> </w:t>
      </w:r>
      <w:r w:rsidRPr="00F44BF5">
        <w:rPr>
          <w:color w:val="000000" w:themeColor="text1"/>
        </w:rPr>
        <w:t xml:space="preserve">geochemical </w:t>
      </w:r>
      <w:r w:rsidRPr="00342DE7">
        <w:t>images to inspect whether any artefacts can be seen between the boundaries of analytical batches</w:t>
      </w:r>
      <w:r>
        <w:t>,</w:t>
      </w:r>
      <w:r w:rsidRPr="00342DE7">
        <w:t xml:space="preserve"> and</w:t>
      </w:r>
    </w:p>
    <w:p w14:paraId="0650D197" w14:textId="4E084D50" w:rsidR="00342DE7" w:rsidRPr="00342DE7" w:rsidRDefault="00342DE7" w:rsidP="00342DE7">
      <w:pPr>
        <w:pStyle w:val="ListParagraph"/>
        <w:numPr>
          <w:ilvl w:val="0"/>
          <w:numId w:val="31"/>
        </w:numPr>
        <w:ind w:left="709" w:hanging="349"/>
      </w:pPr>
      <w:r w:rsidRPr="00C20305">
        <w:t xml:space="preserve">Plotting X-Y graphs for each element for three or more reference standards against their accepted </w:t>
      </w:r>
      <w:r w:rsidR="00E7604D" w:rsidRPr="00C20305">
        <w:t xml:space="preserve">reference </w:t>
      </w:r>
      <w:r w:rsidRPr="00C20305">
        <w:t>values to determine any deviation from a straight line of gradient 1. This is referred to as parametric data levelling</w:t>
      </w:r>
      <w:r w:rsidRPr="00342DE7">
        <w:t>.</w:t>
      </w:r>
    </w:p>
    <w:p w14:paraId="6F7AE3E3" w14:textId="77777777" w:rsidR="009B33BA" w:rsidRDefault="009B33BA" w:rsidP="00342DE7">
      <w:pPr>
        <w:pStyle w:val="Paragraph"/>
        <w:rPr>
          <w:color w:val="000000" w:themeColor="text1"/>
        </w:rPr>
      </w:pPr>
    </w:p>
    <w:p w14:paraId="65854EBE" w14:textId="03058793" w:rsidR="00342DE7" w:rsidRDefault="00342DE7" w:rsidP="00342DE7">
      <w:pPr>
        <w:pStyle w:val="Paragraph"/>
        <w:rPr>
          <w:color w:val="000000" w:themeColor="text1"/>
        </w:rPr>
      </w:pPr>
      <w:r w:rsidRPr="007C4592">
        <w:rPr>
          <w:color w:val="000000" w:themeColor="text1"/>
        </w:rPr>
        <w:t xml:space="preserve">The first method </w:t>
      </w:r>
      <w:r w:rsidR="00EA7D25" w:rsidRPr="007C4592">
        <w:rPr>
          <w:color w:val="000000" w:themeColor="text1"/>
        </w:rPr>
        <w:t>is most applicable</w:t>
      </w:r>
      <w:r w:rsidRPr="007C4592">
        <w:rPr>
          <w:color w:val="000000" w:themeColor="text1"/>
        </w:rPr>
        <w:t xml:space="preserve"> if the new analytical batch is spatially adjacent to existing results. Generally, the process of data levelling will be investigated when complete map sheets or large regions have been sampled and analysed. </w:t>
      </w:r>
      <w:r w:rsidR="00B003E7" w:rsidRPr="007C4592">
        <w:rPr>
          <w:color w:val="000000" w:themeColor="text1"/>
        </w:rPr>
        <w:t>It is when</w:t>
      </w:r>
      <w:r w:rsidRPr="007C4592">
        <w:rPr>
          <w:color w:val="000000" w:themeColor="text1"/>
        </w:rPr>
        <w:t xml:space="preserve"> complete map sheet areas </w:t>
      </w:r>
      <w:r w:rsidR="00B003E7" w:rsidRPr="007C4592">
        <w:rPr>
          <w:color w:val="000000" w:themeColor="text1"/>
        </w:rPr>
        <w:t>are plotted together that any</w:t>
      </w:r>
      <w:r w:rsidRPr="007C4592">
        <w:rPr>
          <w:color w:val="000000" w:themeColor="text1"/>
        </w:rPr>
        <w:t xml:space="preserve"> problems </w:t>
      </w:r>
      <w:r w:rsidR="00B003E7" w:rsidRPr="007C4592">
        <w:rPr>
          <w:color w:val="000000" w:themeColor="text1"/>
        </w:rPr>
        <w:t xml:space="preserve">arising </w:t>
      </w:r>
      <w:r w:rsidRPr="007C4592">
        <w:rPr>
          <w:color w:val="000000" w:themeColor="text1"/>
        </w:rPr>
        <w:t xml:space="preserve">between map sheet boundaries </w:t>
      </w:r>
      <w:r w:rsidR="00B003E7" w:rsidRPr="007C4592">
        <w:rPr>
          <w:color w:val="000000" w:themeColor="text1"/>
        </w:rPr>
        <w:t xml:space="preserve">can be tested </w:t>
      </w:r>
      <w:r w:rsidRPr="00B573C8">
        <w:rPr>
          <w:color w:val="000000" w:themeColor="text1"/>
        </w:rPr>
        <w:t>(see Fig</w:t>
      </w:r>
      <w:r w:rsidR="0017412F" w:rsidRPr="00B573C8">
        <w:rPr>
          <w:color w:val="000000" w:themeColor="text1"/>
        </w:rPr>
        <w:t>s</w:t>
      </w:r>
      <w:r w:rsidR="00091EC8" w:rsidRPr="00B573C8">
        <w:rPr>
          <w:color w:val="000000" w:themeColor="text1"/>
        </w:rPr>
        <w:t>.</w:t>
      </w:r>
      <w:r w:rsidR="001763CF" w:rsidRPr="00B573C8">
        <w:rPr>
          <w:color w:val="000000" w:themeColor="text1"/>
        </w:rPr>
        <w:t xml:space="preserve"> </w:t>
      </w:r>
      <w:r w:rsidR="0017412F" w:rsidRPr="00B573C8">
        <w:rPr>
          <w:color w:val="000000" w:themeColor="text1"/>
        </w:rPr>
        <w:t>8.</w:t>
      </w:r>
      <w:r w:rsidR="00F33BDE" w:rsidRPr="00B573C8">
        <w:rPr>
          <w:color w:val="000000" w:themeColor="text1"/>
        </w:rPr>
        <w:t>1</w:t>
      </w:r>
      <w:r w:rsidR="0017412F" w:rsidRPr="00B573C8">
        <w:rPr>
          <w:color w:val="000000" w:themeColor="text1"/>
        </w:rPr>
        <w:t xml:space="preserve"> &amp; 8.</w:t>
      </w:r>
      <w:r w:rsidR="00B003E7" w:rsidRPr="00B573C8">
        <w:rPr>
          <w:color w:val="000000" w:themeColor="text1"/>
        </w:rPr>
        <w:t>2</w:t>
      </w:r>
      <w:r w:rsidRPr="00B573C8">
        <w:rPr>
          <w:color w:val="000000" w:themeColor="text1"/>
        </w:rPr>
        <w:t>)</w:t>
      </w:r>
      <w:r w:rsidR="00F33BDE" w:rsidRPr="00B573C8">
        <w:rPr>
          <w:color w:val="000000" w:themeColor="text1"/>
        </w:rPr>
        <w:t>.</w:t>
      </w:r>
    </w:p>
    <w:p w14:paraId="062ED6D1" w14:textId="4DF3BD2F" w:rsidR="0045237F" w:rsidRPr="0045237F" w:rsidRDefault="0045237F" w:rsidP="0045237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3"/>
        <w:gridCol w:w="4692"/>
      </w:tblGrid>
      <w:tr w:rsidR="00690A73" w14:paraId="7F602A85" w14:textId="77777777" w:rsidTr="00690A73">
        <w:trPr>
          <w:jc w:val="center"/>
        </w:trPr>
        <w:tc>
          <w:tcPr>
            <w:tcW w:w="4672" w:type="dxa"/>
            <w:vAlign w:val="center"/>
          </w:tcPr>
          <w:p w14:paraId="7376203E" w14:textId="06EB8C34" w:rsidR="00690A73" w:rsidRDefault="00690A73" w:rsidP="00690A73">
            <w:pPr>
              <w:jc w:val="center"/>
            </w:pPr>
            <w:r>
              <w:rPr>
                <w:noProof/>
              </w:rPr>
              <w:lastRenderedPageBreak/>
              <w:drawing>
                <wp:inline distT="0" distB="0" distL="0" distR="0" wp14:anchorId="156E5041" wp14:editId="76460C69">
                  <wp:extent cx="2799080" cy="4153212"/>
                  <wp:effectExtent l="19050" t="19050" r="20320" b="1905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2800373" cy="415513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4673" w:type="dxa"/>
            <w:vAlign w:val="center"/>
          </w:tcPr>
          <w:p w14:paraId="15BFEFD3" w14:textId="7E94F8E3" w:rsidR="00690A73" w:rsidRDefault="00B573C8" w:rsidP="00690A73">
            <w:pPr>
              <w:jc w:val="center"/>
            </w:pPr>
            <w:r>
              <w:rPr>
                <w:noProof/>
              </w:rPr>
              <w:drawing>
                <wp:inline distT="0" distB="0" distL="0" distR="0" wp14:anchorId="341D1EC4" wp14:editId="1CC9E610">
                  <wp:extent cx="2821893" cy="4154400"/>
                  <wp:effectExtent l="19050" t="19050" r="17145" b="17780"/>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2821893" cy="41544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690A73" w:rsidRPr="00690A73" w14:paraId="577A678D" w14:textId="77777777" w:rsidTr="00690A73">
        <w:trPr>
          <w:jc w:val="center"/>
        </w:trPr>
        <w:tc>
          <w:tcPr>
            <w:tcW w:w="4672" w:type="dxa"/>
            <w:vAlign w:val="center"/>
          </w:tcPr>
          <w:p w14:paraId="5AA9165C" w14:textId="58267E36" w:rsidR="00690A73" w:rsidRPr="00690A73" w:rsidRDefault="00690A73" w:rsidP="00690A73">
            <w:pPr>
              <w:jc w:val="center"/>
              <w:rPr>
                <w:sz w:val="20"/>
                <w:szCs w:val="20"/>
              </w:rPr>
            </w:pPr>
            <w:r w:rsidRPr="00690A73">
              <w:rPr>
                <w:sz w:val="20"/>
                <w:szCs w:val="20"/>
              </w:rPr>
              <w:t>(a)</w:t>
            </w:r>
          </w:p>
        </w:tc>
        <w:tc>
          <w:tcPr>
            <w:tcW w:w="4673" w:type="dxa"/>
            <w:vAlign w:val="center"/>
          </w:tcPr>
          <w:p w14:paraId="23CBAB61" w14:textId="122C4586" w:rsidR="00690A73" w:rsidRPr="00690A73" w:rsidRDefault="00690A73" w:rsidP="00690A73">
            <w:pPr>
              <w:jc w:val="center"/>
              <w:rPr>
                <w:sz w:val="20"/>
                <w:szCs w:val="20"/>
              </w:rPr>
            </w:pPr>
            <w:r w:rsidRPr="00690A73">
              <w:rPr>
                <w:sz w:val="20"/>
                <w:szCs w:val="20"/>
              </w:rPr>
              <w:t>(b)</w:t>
            </w:r>
          </w:p>
        </w:tc>
      </w:tr>
    </w:tbl>
    <w:p w14:paraId="1AAD99D2" w14:textId="3BC6FE60" w:rsidR="0045237F" w:rsidRPr="0045237F" w:rsidRDefault="00690A73" w:rsidP="00690A73">
      <w:pPr>
        <w:pStyle w:val="Caption"/>
      </w:pPr>
      <w:r w:rsidRPr="00690A73">
        <w:t xml:space="preserve">Figure 8.2. </w:t>
      </w:r>
      <w:r w:rsidRPr="006D3007">
        <w:rPr>
          <w:b/>
          <w:bCs w:val="0"/>
        </w:rPr>
        <w:t>(a)</w:t>
      </w:r>
      <w:r w:rsidRPr="00690A73">
        <w:t xml:space="preserve"> A map of the United Kingdom showing the different G-BASE sampling campaigns from 196</w:t>
      </w:r>
      <w:r w:rsidR="00493054">
        <w:t>9</w:t>
      </w:r>
      <w:r w:rsidRPr="00690A73">
        <w:t xml:space="preserve"> –2013. Each colour represents a different year of sampling, which progressed from the north of Scotland to the south of England. This figure shows how most field campaigns were carried out within map sheet boundaries. </w:t>
      </w:r>
      <w:r w:rsidRPr="006D3007">
        <w:rPr>
          <w:b/>
          <w:bCs w:val="0"/>
        </w:rPr>
        <w:t>(b)</w:t>
      </w:r>
      <w:r w:rsidRPr="00690A73">
        <w:t xml:space="preserve"> A map of chromium (Cr) in stream sediments (levelled data) show</w:t>
      </w:r>
      <w:r w:rsidR="003C17C9">
        <w:t>ing</w:t>
      </w:r>
      <w:r w:rsidRPr="00690A73">
        <w:t xml:space="preserve"> no analytical bias associated with any of the map sheet boundaries or field campaigns.</w:t>
      </w:r>
    </w:p>
    <w:p w14:paraId="462AB467" w14:textId="5CB75F13" w:rsidR="00342DE7" w:rsidRPr="00342DE7" w:rsidRDefault="00CA2457" w:rsidP="00342DE7">
      <w:pPr>
        <w:pStyle w:val="Heading4"/>
      </w:pPr>
      <w:bookmarkStart w:id="16" w:name="_Toc92056813"/>
      <w:bookmarkStart w:id="17" w:name="_Toc92056911"/>
      <w:bookmarkStart w:id="18" w:name="_Toc106354227"/>
      <w:r>
        <w:t>8</w:t>
      </w:r>
      <w:r w:rsidR="00342DE7" w:rsidRPr="00342DE7">
        <w:t>.2.2.1. Parametric levelling</w:t>
      </w:r>
      <w:bookmarkEnd w:id="16"/>
      <w:bookmarkEnd w:id="17"/>
      <w:bookmarkEnd w:id="18"/>
    </w:p>
    <w:p w14:paraId="6F57A40A" w14:textId="58EC6155" w:rsidR="00342DE7" w:rsidRDefault="00342DE7" w:rsidP="00342DE7">
      <w:pPr>
        <w:pStyle w:val="BodyText"/>
      </w:pPr>
      <w:r w:rsidRPr="007D1437">
        <w:t xml:space="preserve">The method of X-Y plots is referred to as </w:t>
      </w:r>
      <w:r w:rsidR="003C17C9" w:rsidRPr="007D1437">
        <w:rPr>
          <w:i/>
        </w:rPr>
        <w:t>p</w:t>
      </w:r>
      <w:r w:rsidRPr="007D1437">
        <w:rPr>
          <w:i/>
        </w:rPr>
        <w:t>arametric</w:t>
      </w:r>
      <w:r w:rsidRPr="007D1437">
        <w:t>, which is a term in statistics that refers to the fact that independent variables (</w:t>
      </w:r>
      <w:r w:rsidR="0017412F">
        <w:t>X</w:t>
      </w:r>
      <w:r w:rsidRPr="007D1437">
        <w:t xml:space="preserve"> and </w:t>
      </w:r>
      <w:r w:rsidR="00342747">
        <w:t>Y</w:t>
      </w:r>
      <w:r w:rsidRPr="007D1437">
        <w:t>) can be defined by an equation. The simplest and most common of these is the parametric linear equation:</w:t>
      </w:r>
    </w:p>
    <w:p w14:paraId="103CFE8F" w14:textId="77777777" w:rsidR="00342DE7" w:rsidRPr="007D1437" w:rsidRDefault="00342DE7" w:rsidP="00342DE7">
      <w:pPr>
        <w:rPr>
          <w:rFonts w:cs="Times New Roman"/>
        </w:rPr>
      </w:pPr>
    </w:p>
    <w:p w14:paraId="0EFE6F39" w14:textId="2A85CA63" w:rsidR="00342DE7" w:rsidRDefault="0017412F" w:rsidP="00342DE7">
      <w:pPr>
        <w:jc w:val="center"/>
        <w:rPr>
          <w:rFonts w:cs="Times New Roman"/>
        </w:rPr>
      </w:pPr>
      <w:r>
        <w:rPr>
          <w:rFonts w:cs="Times New Roman"/>
        </w:rPr>
        <w:t>Y</w:t>
      </w:r>
      <w:r w:rsidR="00342DE7" w:rsidRPr="007D1437">
        <w:rPr>
          <w:rFonts w:cs="Times New Roman"/>
        </w:rPr>
        <w:t xml:space="preserve"> = </w:t>
      </w:r>
      <w:r w:rsidR="0063591C">
        <w:rPr>
          <w:rFonts w:cs="Times New Roman"/>
        </w:rPr>
        <w:t>B*</w:t>
      </w:r>
      <w:r>
        <w:rPr>
          <w:rFonts w:cs="Times New Roman"/>
        </w:rPr>
        <w:t>X</w:t>
      </w:r>
      <w:r w:rsidR="00342DE7" w:rsidRPr="007D1437">
        <w:rPr>
          <w:rFonts w:cs="Times New Roman"/>
        </w:rPr>
        <w:t xml:space="preserve"> + </w:t>
      </w:r>
      <w:r w:rsidR="0063591C">
        <w:rPr>
          <w:rFonts w:cs="Times New Roman"/>
        </w:rPr>
        <w:t>A</w:t>
      </w:r>
    </w:p>
    <w:p w14:paraId="51FD84D2" w14:textId="77777777" w:rsidR="00342DE7" w:rsidRPr="007D1437" w:rsidRDefault="00342DE7" w:rsidP="00342DE7">
      <w:pPr>
        <w:jc w:val="center"/>
        <w:rPr>
          <w:rFonts w:cs="Times New Roman"/>
        </w:rPr>
      </w:pPr>
    </w:p>
    <w:p w14:paraId="05DD3F17" w14:textId="3204486F" w:rsidR="00342DE7" w:rsidRPr="005E0C28" w:rsidRDefault="00342DE7" w:rsidP="006F0D08">
      <w:pPr>
        <w:pStyle w:val="BodyText"/>
      </w:pPr>
      <w:r w:rsidRPr="005E0C28">
        <w:t>where ‘</w:t>
      </w:r>
      <w:r w:rsidR="0063591C">
        <w:t>B</w:t>
      </w:r>
      <w:r w:rsidRPr="005E0C28">
        <w:t xml:space="preserve">’ </w:t>
      </w:r>
      <w:r w:rsidR="00C6595C">
        <w:t>is</w:t>
      </w:r>
      <w:r w:rsidRPr="005E0C28">
        <w:t xml:space="preserve"> the gradient of the line, and ‘</w:t>
      </w:r>
      <w:r w:rsidR="0063591C">
        <w:t>A</w:t>
      </w:r>
      <w:r w:rsidRPr="005E0C28">
        <w:t xml:space="preserve">’ </w:t>
      </w:r>
      <w:r w:rsidR="00C6595C">
        <w:t>is</w:t>
      </w:r>
      <w:r w:rsidRPr="005E0C28">
        <w:t xml:space="preserve"> the intercept on the </w:t>
      </w:r>
      <w:r w:rsidR="007D0F0A" w:rsidRPr="005E0C28">
        <w:t>Y</w:t>
      </w:r>
      <w:r w:rsidRPr="005E0C28">
        <w:t xml:space="preserve">-axis </w:t>
      </w:r>
      <w:r w:rsidR="007D0F0A" w:rsidRPr="005E0C28">
        <w:t xml:space="preserve">at X </w:t>
      </w:r>
      <w:r w:rsidR="009B33BA" w:rsidRPr="005E0C28">
        <w:t xml:space="preserve">equals </w:t>
      </w:r>
      <w:r w:rsidR="007D0F0A" w:rsidRPr="005E0C28">
        <w:t xml:space="preserve">zero </w:t>
      </w:r>
      <w:r w:rsidR="009B33BA" w:rsidRPr="005E0C28">
        <w:t xml:space="preserve">concentration </w:t>
      </w:r>
      <w:r w:rsidRPr="005E0C28">
        <w:t>(Fig</w:t>
      </w:r>
      <w:r w:rsidR="00091EC8" w:rsidRPr="005E0C28">
        <w:t>.</w:t>
      </w:r>
      <w:r w:rsidRPr="005E0C28">
        <w:t xml:space="preserve"> </w:t>
      </w:r>
      <w:r w:rsidR="007D0F0A" w:rsidRPr="005E0C28">
        <w:t>8.</w:t>
      </w:r>
      <w:r w:rsidR="00F33BDE" w:rsidRPr="005E0C28">
        <w:t>3</w:t>
      </w:r>
      <w:r w:rsidRPr="005E0C28">
        <w:t>).</w:t>
      </w:r>
    </w:p>
    <w:p w14:paraId="13C9FDD2" w14:textId="20F77FC4" w:rsidR="00342DE7" w:rsidRPr="00C20305" w:rsidRDefault="00342DE7" w:rsidP="00342DE7">
      <w:pPr>
        <w:pStyle w:val="Paragraph"/>
      </w:pPr>
      <w:r w:rsidRPr="005E0C28">
        <w:rPr>
          <w:i/>
        </w:rPr>
        <w:t>Levelling</w:t>
      </w:r>
      <w:r w:rsidRPr="005E0C28">
        <w:t xml:space="preserve"> adjusts the results to a common level, which in the subsequent real examples is the accepted element value for a secondary reference material (plotted as ‘</w:t>
      </w:r>
      <w:r w:rsidR="009B33BA" w:rsidRPr="005E0C28">
        <w:t>Y</w:t>
      </w:r>
      <w:r w:rsidRPr="005E0C28">
        <w:t xml:space="preserve">’ on the X-Y plot). The two data sets being levelled can be referred to as </w:t>
      </w:r>
      <w:r w:rsidRPr="005E0C28">
        <w:rPr>
          <w:i/>
        </w:rPr>
        <w:t>disparate</w:t>
      </w:r>
      <w:r w:rsidRPr="005E0C28">
        <w:t xml:space="preserve"> because</w:t>
      </w:r>
      <w:r w:rsidR="0063761E" w:rsidRPr="005E0C28">
        <w:t>,</w:t>
      </w:r>
      <w:r w:rsidRPr="005E0C28">
        <w:t xml:space="preserve"> as a consequence of changes in methodology (planned or otherwise), the results contain an analytical bias that needs to be removed. The parametric linear equation is the simplest model to work with, and it may be necessary to logarithmically transform the data prior to levelling, and this can be determined from an initial X-Y plot. A good guide is, if when plotted without a logarithmic transformation the data ‘fan out’ at higher levels, then the data should be logarithmically transformed for reasons related to </w:t>
      </w:r>
      <w:r w:rsidR="00D20E3F">
        <w:t xml:space="preserve">the </w:t>
      </w:r>
      <w:r w:rsidRPr="005E0C28">
        <w:t xml:space="preserve">homogeneity of variance and the subsequent numerical steps (Darnley </w:t>
      </w:r>
      <w:r w:rsidR="00A26595" w:rsidRPr="00A26595">
        <w:rPr>
          <w:i/>
        </w:rPr>
        <w:t>et al.</w:t>
      </w:r>
      <w:r w:rsidRPr="005E0C28">
        <w:t>, 1995</w:t>
      </w:r>
      <w:r w:rsidR="00666CD7" w:rsidRPr="005E0C28">
        <w:t>; see also Annex</w:t>
      </w:r>
      <w:r w:rsidR="00ED00FB">
        <w:t>e</w:t>
      </w:r>
      <w:r w:rsidR="00666CD7" w:rsidRPr="005E0C28">
        <w:t xml:space="preserve"> </w:t>
      </w:r>
      <w:r w:rsidR="00ED00FB">
        <w:t>A</w:t>
      </w:r>
      <w:r w:rsidR="00296802" w:rsidRPr="005E0C28">
        <w:t>2.2</w:t>
      </w:r>
      <w:r w:rsidR="00666CD7" w:rsidRPr="005E0C28">
        <w:t xml:space="preserve"> in this Manual</w:t>
      </w:r>
      <w:r w:rsidRPr="005E0C28">
        <w:t>).</w:t>
      </w:r>
    </w:p>
    <w:p w14:paraId="1EBB0E06" w14:textId="77777777" w:rsidR="009837FA" w:rsidRDefault="009837FA" w:rsidP="00342DE7">
      <w:pPr>
        <w:pStyle w:val="Paragraph"/>
      </w:pPr>
    </w:p>
    <w:p w14:paraId="20AA2A13" w14:textId="77777777" w:rsidR="009837FA" w:rsidRPr="009837FA" w:rsidRDefault="009837FA" w:rsidP="009837FA"/>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9837FA" w14:paraId="20544C8E" w14:textId="77777777" w:rsidTr="009837FA">
        <w:trPr>
          <w:jc w:val="center"/>
        </w:trPr>
        <w:tc>
          <w:tcPr>
            <w:tcW w:w="9345" w:type="dxa"/>
            <w:vAlign w:val="center"/>
          </w:tcPr>
          <w:p w14:paraId="59AB6BD2" w14:textId="236F286E" w:rsidR="009837FA" w:rsidRDefault="008C1E89" w:rsidP="009837FA">
            <w:pPr>
              <w:jc w:val="center"/>
            </w:pPr>
            <w:r>
              <w:rPr>
                <w:noProof/>
              </w:rPr>
              <w:lastRenderedPageBreak/>
              <w:drawing>
                <wp:inline distT="0" distB="0" distL="0" distR="0" wp14:anchorId="7A6EBEC7" wp14:editId="2F2A900D">
                  <wp:extent cx="3598846" cy="3599685"/>
                  <wp:effectExtent l="0" t="0" r="190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7" cstate="print">
                            <a:extLst>
                              <a:ext uri="{28A0092B-C50C-407E-A947-70E740481C1C}">
                                <a14:useLocalDpi xmlns:a14="http://schemas.microsoft.com/office/drawing/2010/main"/>
                              </a:ext>
                            </a:extLst>
                          </a:blip>
                          <a:stretch>
                            <a:fillRect/>
                          </a:stretch>
                        </pic:blipFill>
                        <pic:spPr>
                          <a:xfrm>
                            <a:off x="0" y="0"/>
                            <a:ext cx="3598846" cy="3599685"/>
                          </a:xfrm>
                          <a:prstGeom prst="rect">
                            <a:avLst/>
                          </a:prstGeom>
                        </pic:spPr>
                      </pic:pic>
                    </a:graphicData>
                  </a:graphic>
                </wp:inline>
              </w:drawing>
            </w:r>
          </w:p>
        </w:tc>
      </w:tr>
    </w:tbl>
    <w:p w14:paraId="5EE365D8" w14:textId="428C9F52" w:rsidR="009837FA" w:rsidRPr="009837FA" w:rsidRDefault="008C1E89" w:rsidP="008C1E89">
      <w:pPr>
        <w:pStyle w:val="Caption"/>
      </w:pPr>
      <w:r w:rsidRPr="008C1E89">
        <w:t xml:space="preserve">Figure 8.3. Parametric linear equation Y = </w:t>
      </w:r>
      <w:r w:rsidR="00E40467">
        <w:t>B*</w:t>
      </w:r>
      <w:r w:rsidRPr="008C1E89">
        <w:t xml:space="preserve">X + </w:t>
      </w:r>
      <w:r w:rsidR="00E40467">
        <w:t>A</w:t>
      </w:r>
      <w:r w:rsidRPr="008C1E89">
        <w:t xml:space="preserve"> shown graphically. Note that </w:t>
      </w:r>
      <w:r w:rsidR="00E40467">
        <w:t>A</w:t>
      </w:r>
      <w:r w:rsidRPr="008C1E89">
        <w:t xml:space="preserve"> is the intercept on the Y-axis at X</w:t>
      </w:r>
      <w:r w:rsidRPr="008C1E89">
        <w:rPr>
          <w:vertAlign w:val="subscript"/>
        </w:rPr>
        <w:t>0</w:t>
      </w:r>
      <w:r w:rsidRPr="008C1E89">
        <w:t xml:space="preserve"> = zero. The green line indicates the 45</w:t>
      </w:r>
      <w:r w:rsidR="006D3007">
        <w:t>-</w:t>
      </w:r>
      <w:r w:rsidRPr="008C1E89">
        <w:t>degree (1:1) diagonal</w:t>
      </w:r>
      <w:r w:rsidR="00E40467">
        <w:t>.</w:t>
      </w:r>
      <w:r w:rsidRPr="008C1E89">
        <w:t xml:space="preserve"> Plotted with Golden Software’s </w:t>
      </w:r>
      <w:proofErr w:type="spellStart"/>
      <w:r w:rsidRPr="008C1E89">
        <w:t>Grapher</w:t>
      </w:r>
      <w:r w:rsidRPr="008C1E89">
        <w:rPr>
          <w:vertAlign w:val="superscript"/>
        </w:rPr>
        <w:t>TM</w:t>
      </w:r>
      <w:proofErr w:type="spellEnd"/>
      <w:r w:rsidRPr="008C1E89">
        <w:t xml:space="preserve"> v20.</w:t>
      </w:r>
    </w:p>
    <w:p w14:paraId="471B1810" w14:textId="1E39B9AC" w:rsidR="00342DE7" w:rsidRPr="007D1437" w:rsidRDefault="00342DE7" w:rsidP="00342DE7">
      <w:pPr>
        <w:pStyle w:val="Paragraph"/>
      </w:pPr>
      <w:r w:rsidRPr="007D1437">
        <w:t>Firstly, the X-Y plots of the SRMs from the analytical batches to be levelled are plotted.  Where ‘</w:t>
      </w:r>
      <w:r w:rsidR="00666CD7">
        <w:t>X</w:t>
      </w:r>
      <w:r w:rsidRPr="007D1437">
        <w:t xml:space="preserve">’ is the </w:t>
      </w:r>
      <w:r w:rsidR="00107ACD">
        <w:t>measured</w:t>
      </w:r>
      <w:r w:rsidR="00107ACD" w:rsidRPr="007D1437">
        <w:t xml:space="preserve"> </w:t>
      </w:r>
      <w:r w:rsidRPr="007D1437">
        <w:t>value and ‘</w:t>
      </w:r>
      <w:r w:rsidR="00666CD7">
        <w:t>Y</w:t>
      </w:r>
      <w:r w:rsidRPr="007D1437">
        <w:t xml:space="preserve">’ is the SRM </w:t>
      </w:r>
      <w:r w:rsidRPr="00C20305">
        <w:t xml:space="preserve">accepted </w:t>
      </w:r>
      <w:r w:rsidR="00666CD7" w:rsidRPr="00C20305">
        <w:t xml:space="preserve">reference </w:t>
      </w:r>
      <w:r w:rsidRPr="00C20305">
        <w:t xml:space="preserve">value, determined </w:t>
      </w:r>
      <w:r w:rsidR="006D3007">
        <w:t>by</w:t>
      </w:r>
      <w:r w:rsidRPr="00C20305">
        <w:t xml:space="preserve"> taking the mean value of many earlier analyses</w:t>
      </w:r>
      <w:r w:rsidR="00183CBD" w:rsidRPr="00C20305">
        <w:t xml:space="preserve"> (refer to Chapter 5 in this Manual; Heydorn, 2006)</w:t>
      </w:r>
      <w:r w:rsidRPr="007D1437">
        <w:t>. A selection of SRMs showing a good range of elemental values is required for each plot and each element determined has to be processed individually. This means a large number of plots are required, so it is useful to automate the process using graphical plotting software for the X-Y plots and regression analysis to determine ‘</w:t>
      </w:r>
      <w:r w:rsidR="00E40467">
        <w:t>B</w:t>
      </w:r>
      <w:r w:rsidRPr="007D1437">
        <w:t>’ and ‘</w:t>
      </w:r>
      <w:r w:rsidR="00E40467">
        <w:t>A</w:t>
      </w:r>
      <w:r w:rsidRPr="007D1437">
        <w:t>’. This can be done in Microsoft</w:t>
      </w:r>
      <w:r w:rsidR="00183CBD" w:rsidRPr="00183CBD">
        <w:rPr>
          <w:vertAlign w:val="superscript"/>
        </w:rPr>
        <w:t>TM</w:t>
      </w:r>
      <w:r w:rsidRPr="007D1437">
        <w:t xml:space="preserve"> (MS) Excel, but other software packages are available which can offer greater automated customisation and consistency, such as R–scripts (Reimann </w:t>
      </w:r>
      <w:r w:rsidR="00A26595" w:rsidRPr="00A26595">
        <w:rPr>
          <w:i/>
        </w:rPr>
        <w:t>et al.</w:t>
      </w:r>
      <w:r w:rsidRPr="007D1437">
        <w:t xml:space="preserve">, 2008). The more SRMs that are available the better the fit of the modelling. </w:t>
      </w:r>
    </w:p>
    <w:p w14:paraId="7576EF2F" w14:textId="7CE8E6FB" w:rsidR="00342DE7" w:rsidRPr="007D1437" w:rsidRDefault="00342DE7" w:rsidP="00342DE7">
      <w:pPr>
        <w:pStyle w:val="Paragraph"/>
      </w:pPr>
      <w:r w:rsidRPr="00ED2B28">
        <w:t xml:space="preserve">Figure </w:t>
      </w:r>
      <w:r w:rsidR="00183CBD" w:rsidRPr="00ED2B28">
        <w:t>8.</w:t>
      </w:r>
      <w:r w:rsidR="00B003E7" w:rsidRPr="00ED2B28">
        <w:t>4</w:t>
      </w:r>
      <w:r w:rsidRPr="00ED2B28">
        <w:t xml:space="preserve"> shows various scenarios for how the X-Y plot may look. The situation shown in Figure </w:t>
      </w:r>
      <w:r w:rsidR="00183CBD" w:rsidRPr="00ED2B28">
        <w:t>8.</w:t>
      </w:r>
      <w:r w:rsidR="00B003E7" w:rsidRPr="00ED2B28">
        <w:t>4</w:t>
      </w:r>
      <w:r w:rsidRPr="00ED2B28">
        <w:t>a has points plotting on or close to the line of gradient 1 (</w:t>
      </w:r>
      <w:r w:rsidR="00A26595" w:rsidRPr="00A26595">
        <w:rPr>
          <w:i/>
          <w:iCs/>
        </w:rPr>
        <w:t>i.e.</w:t>
      </w:r>
      <w:r w:rsidR="00183CBD" w:rsidRPr="00ED2B28">
        <w:t>,</w:t>
      </w:r>
      <w:r w:rsidRPr="00ED2B28">
        <w:t xml:space="preserve"> value of </w:t>
      </w:r>
      <w:r w:rsidR="00E40467">
        <w:t>B</w:t>
      </w:r>
      <w:r w:rsidRPr="00ED2B28">
        <w:t xml:space="preserve"> = 1), and the regression line passes through the origin of the graph (</w:t>
      </w:r>
      <w:r w:rsidR="00A26595" w:rsidRPr="00A26595">
        <w:rPr>
          <w:i/>
          <w:iCs/>
        </w:rPr>
        <w:t>i.e.</w:t>
      </w:r>
      <w:r w:rsidR="00183CBD" w:rsidRPr="00ED2B28">
        <w:t>,</w:t>
      </w:r>
      <w:r w:rsidRPr="00ED2B28">
        <w:t xml:space="preserve"> value of </w:t>
      </w:r>
      <w:r w:rsidR="00E40467">
        <w:t>A</w:t>
      </w:r>
      <w:r w:rsidRPr="00ED2B28">
        <w:t xml:space="preserve"> = 0), referred to subsequently here as the </w:t>
      </w:r>
      <w:r w:rsidRPr="00ED2B28">
        <w:rPr>
          <w:i/>
        </w:rPr>
        <w:t>reference line</w:t>
      </w:r>
      <w:r w:rsidRPr="00ED2B28">
        <w:t>. In this instance</w:t>
      </w:r>
      <w:r w:rsidR="00B23E92" w:rsidRPr="00ED2B28">
        <w:t>,</w:t>
      </w:r>
      <w:r w:rsidRPr="00ED2B28">
        <w:t xml:space="preserve"> no levelling of the data </w:t>
      </w:r>
      <w:r w:rsidR="00DD2D59" w:rsidRPr="00ED2B28">
        <w:t>is</w:t>
      </w:r>
      <w:r w:rsidRPr="00ED2B28">
        <w:t xml:space="preserve"> required.  Figure </w:t>
      </w:r>
      <w:r w:rsidR="00183CBD" w:rsidRPr="00ED2B28">
        <w:t>8.</w:t>
      </w:r>
      <w:r w:rsidR="00B003E7" w:rsidRPr="00ED2B28">
        <w:t>4</w:t>
      </w:r>
      <w:r w:rsidRPr="00ED2B28">
        <w:t>f shows the scenario that</w:t>
      </w:r>
      <w:r w:rsidR="004535DE" w:rsidRPr="00ED2B28">
        <w:t xml:space="preserve"> </w:t>
      </w:r>
      <w:r w:rsidRPr="00ED2B28">
        <w:t xml:space="preserve">may arise where no correlation - linear or non-linear </w:t>
      </w:r>
      <w:r w:rsidR="00BD7186">
        <w:t>−</w:t>
      </w:r>
      <w:r w:rsidRPr="00ED2B28">
        <w:t xml:space="preserve"> can be seen between the data sets to be levelled. In this instance, levelling using this procedure must be considered impossible. In cases of non-linearity some form of </w:t>
      </w:r>
      <w:r w:rsidR="004535DE" w:rsidRPr="00ED2B28">
        <w:t>lineari</w:t>
      </w:r>
      <w:r w:rsidR="00183CBD" w:rsidRPr="00ED2B28">
        <w:t>s</w:t>
      </w:r>
      <w:r w:rsidR="004535DE" w:rsidRPr="00ED2B28">
        <w:t xml:space="preserve">ation, </w:t>
      </w:r>
      <w:r w:rsidRPr="00ED2B28">
        <w:t>polynomial or non-linear curve fitting might be considered but modelling of this complexity may bring into question the credibility of the modified results.</w:t>
      </w:r>
      <w:r w:rsidRPr="007D1437">
        <w:t xml:space="preserve"> </w:t>
      </w:r>
    </w:p>
    <w:p w14:paraId="6EC2C1F3" w14:textId="5FF26AE7" w:rsidR="00342DE7" w:rsidRDefault="00342DE7" w:rsidP="00342DE7">
      <w:pPr>
        <w:pStyle w:val="Paragraph"/>
      </w:pPr>
      <w:r w:rsidRPr="005551D9">
        <w:t>A generally straight line</w:t>
      </w:r>
      <w:r w:rsidR="00B23E92" w:rsidRPr="005551D9">
        <w:t>,</w:t>
      </w:r>
      <w:r w:rsidRPr="005551D9">
        <w:t xml:space="preserve"> parallel to the reference line</w:t>
      </w:r>
      <w:r w:rsidR="00B23E92" w:rsidRPr="005551D9">
        <w:t>,</w:t>
      </w:r>
      <w:r w:rsidRPr="005551D9">
        <w:t xml:space="preserve"> indicates a constant positive or negative shift in the results to be levelled (as shown in Fig</w:t>
      </w:r>
      <w:r w:rsidR="00183CBD" w:rsidRPr="005551D9">
        <w:t>s.</w:t>
      </w:r>
      <w:r w:rsidRPr="005551D9">
        <w:t xml:space="preserve"> </w:t>
      </w:r>
      <w:r w:rsidR="006D2584" w:rsidRPr="005551D9">
        <w:t>8.</w:t>
      </w:r>
      <w:r w:rsidR="00B003E7" w:rsidRPr="005551D9">
        <w:t>4</w:t>
      </w:r>
      <w:r w:rsidRPr="005551D9">
        <w:t xml:space="preserve">b </w:t>
      </w:r>
      <w:r w:rsidR="00ED2B28" w:rsidRPr="005551D9">
        <w:t>&amp;</w:t>
      </w:r>
      <w:r w:rsidRPr="005551D9">
        <w:t xml:space="preserve"> </w:t>
      </w:r>
      <w:r w:rsidR="006D2584" w:rsidRPr="005551D9">
        <w:t>8.</w:t>
      </w:r>
      <w:r w:rsidR="00B003E7" w:rsidRPr="005551D9">
        <w:t>4</w:t>
      </w:r>
      <w:r w:rsidRPr="005551D9">
        <w:t>c). If the slope of the regression line is greater or lesser than that of the reference line combined with a positive or negative shift (scenarios shown in Figs</w:t>
      </w:r>
      <w:r w:rsidR="00ED2B28" w:rsidRPr="005551D9">
        <w:t>.</w:t>
      </w:r>
      <w:r w:rsidRPr="005551D9">
        <w:t xml:space="preserve"> </w:t>
      </w:r>
      <w:r w:rsidR="006D2584" w:rsidRPr="005551D9">
        <w:t>8.</w:t>
      </w:r>
      <w:r w:rsidR="00B003E7" w:rsidRPr="005551D9">
        <w:t>4</w:t>
      </w:r>
      <w:r w:rsidRPr="005551D9">
        <w:t xml:space="preserve">d </w:t>
      </w:r>
      <w:r w:rsidR="005551D9" w:rsidRPr="005551D9">
        <w:t>&amp;</w:t>
      </w:r>
      <w:r w:rsidRPr="005551D9">
        <w:t xml:space="preserve"> </w:t>
      </w:r>
      <w:r w:rsidR="006D2584" w:rsidRPr="005551D9">
        <w:t>8.</w:t>
      </w:r>
      <w:r w:rsidR="00B003E7" w:rsidRPr="005551D9">
        <w:t>4</w:t>
      </w:r>
      <w:r w:rsidRPr="005551D9">
        <w:t>e), then a correction factor (determined by ‘</w:t>
      </w:r>
      <w:r w:rsidR="00E40467">
        <w:t>B</w:t>
      </w:r>
      <w:r w:rsidRPr="005551D9">
        <w:t>’) and constant (subtraction or addition determined by ‘</w:t>
      </w:r>
      <w:r w:rsidR="00E40467">
        <w:t>A</w:t>
      </w:r>
      <w:r w:rsidRPr="005551D9">
        <w:t>’) will be required to level the element concentration ‘</w:t>
      </w:r>
      <w:r w:rsidR="006D2584" w:rsidRPr="005551D9">
        <w:t>X</w:t>
      </w:r>
      <w:r w:rsidRPr="005551D9">
        <w:t>’.</w:t>
      </w:r>
    </w:p>
    <w:p w14:paraId="7EDFE42E" w14:textId="6E41A68E" w:rsidR="006B178F" w:rsidRPr="006B178F" w:rsidRDefault="006B178F" w:rsidP="006B178F"/>
    <w:p w14:paraId="679F7A83" w14:textId="6C2BE734" w:rsidR="006B178F" w:rsidRPr="006B178F" w:rsidRDefault="006B178F" w:rsidP="006B178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6B178F" w14:paraId="0801E34D" w14:textId="77777777" w:rsidTr="006B178F">
        <w:trPr>
          <w:jc w:val="center"/>
        </w:trPr>
        <w:tc>
          <w:tcPr>
            <w:tcW w:w="4672" w:type="dxa"/>
            <w:vAlign w:val="center"/>
          </w:tcPr>
          <w:p w14:paraId="62BC0A96" w14:textId="1F17B61C" w:rsidR="006B178F" w:rsidRDefault="006B178F" w:rsidP="006B178F">
            <w:pPr>
              <w:jc w:val="center"/>
            </w:pPr>
            <w:r>
              <w:rPr>
                <w:noProof/>
              </w:rPr>
              <w:lastRenderedPageBreak/>
              <w:drawing>
                <wp:inline distT="0" distB="0" distL="0" distR="0" wp14:anchorId="6BB21CBF" wp14:editId="75874E8C">
                  <wp:extent cx="2880000" cy="28630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c>
          <w:tcPr>
            <w:tcW w:w="4673" w:type="dxa"/>
            <w:vAlign w:val="center"/>
          </w:tcPr>
          <w:p w14:paraId="62EF0E3B" w14:textId="2AF0B92B" w:rsidR="006B178F" w:rsidRDefault="0025045D" w:rsidP="006B178F">
            <w:pPr>
              <w:jc w:val="center"/>
            </w:pPr>
            <w:r>
              <w:rPr>
                <w:noProof/>
              </w:rPr>
              <w:drawing>
                <wp:inline distT="0" distB="0" distL="0" distR="0" wp14:anchorId="6FFC6BDA" wp14:editId="6002BE8E">
                  <wp:extent cx="2880000" cy="286306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r>
      <w:tr w:rsidR="006B178F" w14:paraId="0A65F9B2" w14:textId="77777777" w:rsidTr="006B178F">
        <w:trPr>
          <w:jc w:val="center"/>
        </w:trPr>
        <w:tc>
          <w:tcPr>
            <w:tcW w:w="4672" w:type="dxa"/>
            <w:vAlign w:val="center"/>
          </w:tcPr>
          <w:p w14:paraId="4B70BF20" w14:textId="207A8E5F" w:rsidR="006B178F" w:rsidRDefault="0025045D" w:rsidP="006B178F">
            <w:pPr>
              <w:jc w:val="center"/>
            </w:pPr>
            <w:r>
              <w:rPr>
                <w:noProof/>
              </w:rPr>
              <w:drawing>
                <wp:inline distT="0" distB="0" distL="0" distR="0" wp14:anchorId="18B4968D" wp14:editId="3393DE3A">
                  <wp:extent cx="2880000" cy="286306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c>
          <w:tcPr>
            <w:tcW w:w="4673" w:type="dxa"/>
            <w:vAlign w:val="center"/>
          </w:tcPr>
          <w:p w14:paraId="3F6114C1" w14:textId="77307E46" w:rsidR="006B178F" w:rsidRDefault="0025045D" w:rsidP="006B178F">
            <w:pPr>
              <w:jc w:val="center"/>
            </w:pPr>
            <w:r>
              <w:rPr>
                <w:noProof/>
              </w:rPr>
              <w:drawing>
                <wp:inline distT="0" distB="0" distL="0" distR="0" wp14:anchorId="1A693CF7" wp14:editId="6CAFB828">
                  <wp:extent cx="2880000" cy="28630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r>
      <w:tr w:rsidR="006B178F" w14:paraId="464BA533" w14:textId="77777777" w:rsidTr="006B178F">
        <w:trPr>
          <w:jc w:val="center"/>
        </w:trPr>
        <w:tc>
          <w:tcPr>
            <w:tcW w:w="4672" w:type="dxa"/>
            <w:vAlign w:val="center"/>
          </w:tcPr>
          <w:p w14:paraId="1A5E115E" w14:textId="00724011" w:rsidR="006B178F" w:rsidRDefault="0025045D" w:rsidP="006B178F">
            <w:pPr>
              <w:jc w:val="center"/>
            </w:pPr>
            <w:r>
              <w:rPr>
                <w:noProof/>
              </w:rPr>
              <w:drawing>
                <wp:inline distT="0" distB="0" distL="0" distR="0" wp14:anchorId="3A1075B0" wp14:editId="18260391">
                  <wp:extent cx="2880000" cy="28630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c>
          <w:tcPr>
            <w:tcW w:w="4673" w:type="dxa"/>
            <w:vAlign w:val="center"/>
          </w:tcPr>
          <w:p w14:paraId="25CD0BD5" w14:textId="7791EF39" w:rsidR="006B178F" w:rsidRDefault="0025045D" w:rsidP="006B178F">
            <w:pPr>
              <w:jc w:val="center"/>
            </w:pPr>
            <w:r>
              <w:rPr>
                <w:noProof/>
              </w:rPr>
              <w:drawing>
                <wp:inline distT="0" distB="0" distL="0" distR="0" wp14:anchorId="34934496" wp14:editId="56A19335">
                  <wp:extent cx="2880000" cy="28630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3" cstate="print">
                            <a:extLst>
                              <a:ext uri="{28A0092B-C50C-407E-A947-70E740481C1C}">
                                <a14:useLocalDpi xmlns:a14="http://schemas.microsoft.com/office/drawing/2010/main"/>
                              </a:ext>
                            </a:extLst>
                          </a:blip>
                          <a:stretch>
                            <a:fillRect/>
                          </a:stretch>
                        </pic:blipFill>
                        <pic:spPr>
                          <a:xfrm>
                            <a:off x="0" y="0"/>
                            <a:ext cx="2880000" cy="2863069"/>
                          </a:xfrm>
                          <a:prstGeom prst="rect">
                            <a:avLst/>
                          </a:prstGeom>
                        </pic:spPr>
                      </pic:pic>
                    </a:graphicData>
                  </a:graphic>
                </wp:inline>
              </w:drawing>
            </w:r>
          </w:p>
        </w:tc>
      </w:tr>
    </w:tbl>
    <w:p w14:paraId="6B519A24" w14:textId="0141EDE7" w:rsidR="006B178F" w:rsidRPr="006B178F" w:rsidRDefault="0025045D" w:rsidP="0025045D">
      <w:pPr>
        <w:pStyle w:val="Caption"/>
      </w:pPr>
      <w:r w:rsidRPr="0025045D">
        <w:t xml:space="preserve">Figure 8.4. Various scenarios </w:t>
      </w:r>
      <w:r w:rsidR="006D3007">
        <w:t xml:space="preserve">are </w:t>
      </w:r>
      <w:r w:rsidRPr="0025045D">
        <w:t xml:space="preserve">shown by X-Y plots that may occur during parametric levelling. For descriptions of </w:t>
      </w:r>
      <w:r w:rsidRPr="00BD7186">
        <w:rPr>
          <w:b/>
          <w:bCs w:val="0"/>
        </w:rPr>
        <w:t>(a)</w:t>
      </w:r>
      <w:r w:rsidRPr="0025045D">
        <w:t xml:space="preserve"> to </w:t>
      </w:r>
      <w:r w:rsidRPr="00BD7186">
        <w:rPr>
          <w:b/>
          <w:bCs w:val="0"/>
        </w:rPr>
        <w:t>(f)</w:t>
      </w:r>
      <w:r w:rsidRPr="0025045D">
        <w:t xml:space="preserve"> see text. The green line indicates the 45</w:t>
      </w:r>
      <w:r w:rsidR="006D3007">
        <w:t>-</w:t>
      </w:r>
      <w:r w:rsidRPr="0025045D">
        <w:t xml:space="preserve">degree (1:1) diagonal. Plotted with Golden Software’s </w:t>
      </w:r>
      <w:proofErr w:type="spellStart"/>
      <w:r w:rsidRPr="0025045D">
        <w:t>Grapher</w:t>
      </w:r>
      <w:r w:rsidRPr="0025045D">
        <w:rPr>
          <w:vertAlign w:val="superscript"/>
        </w:rPr>
        <w:t>TM</w:t>
      </w:r>
      <w:proofErr w:type="spellEnd"/>
      <w:r w:rsidRPr="0025045D">
        <w:rPr>
          <w:vertAlign w:val="superscript"/>
        </w:rPr>
        <w:t xml:space="preserve"> </w:t>
      </w:r>
      <w:r w:rsidRPr="0025045D">
        <w:t>v20.</w:t>
      </w:r>
    </w:p>
    <w:p w14:paraId="10F302E6" w14:textId="56875C1A" w:rsidR="006F0D08" w:rsidRDefault="00CA2457" w:rsidP="006F0D08">
      <w:pPr>
        <w:pStyle w:val="Heading2"/>
      </w:pPr>
      <w:bookmarkStart w:id="19" w:name="_Toc92056814"/>
      <w:bookmarkStart w:id="20" w:name="_Toc92056912"/>
      <w:bookmarkStart w:id="21" w:name="_Toc106354228"/>
      <w:r>
        <w:lastRenderedPageBreak/>
        <w:t>8</w:t>
      </w:r>
      <w:r w:rsidR="006F0D08" w:rsidRPr="0047565D">
        <w:t>.</w:t>
      </w:r>
      <w:r w:rsidR="006F0D08">
        <w:t>3</w:t>
      </w:r>
      <w:r w:rsidR="006F0D08" w:rsidRPr="0047565D">
        <w:t xml:space="preserve">. </w:t>
      </w:r>
      <w:r w:rsidR="006F0D08">
        <w:t>Worked examples</w:t>
      </w:r>
      <w:bookmarkEnd w:id="19"/>
      <w:bookmarkEnd w:id="20"/>
      <w:bookmarkEnd w:id="21"/>
    </w:p>
    <w:p w14:paraId="55C2E81A" w14:textId="1F5D3C5E" w:rsidR="006F0D08" w:rsidRPr="00665747" w:rsidRDefault="00CA2457" w:rsidP="006F0D08">
      <w:pPr>
        <w:pStyle w:val="Heading3"/>
      </w:pPr>
      <w:bookmarkStart w:id="22" w:name="_Toc92056815"/>
      <w:bookmarkStart w:id="23" w:name="_Toc92056913"/>
      <w:bookmarkStart w:id="24" w:name="_Toc106354229"/>
      <w:r>
        <w:t>8</w:t>
      </w:r>
      <w:r w:rsidR="006F0D08">
        <w:t xml:space="preserve">.3.1. </w:t>
      </w:r>
      <w:r w:rsidR="006F0D08" w:rsidRPr="006F0D08">
        <w:t xml:space="preserve">Worked Example 1: </w:t>
      </w:r>
      <w:r w:rsidR="006F0D08">
        <w:t>L</w:t>
      </w:r>
      <w:r w:rsidR="006F0D08" w:rsidRPr="006F0D08">
        <w:t>evelling stream sediment results for K</w:t>
      </w:r>
      <w:r w:rsidR="006F0D08" w:rsidRPr="006F0D08">
        <w:rPr>
          <w:vertAlign w:val="subscript"/>
        </w:rPr>
        <w:t>2</w:t>
      </w:r>
      <w:r w:rsidR="006F0D08" w:rsidRPr="006F0D08">
        <w:t>O from the G</w:t>
      </w:r>
      <w:r w:rsidR="00BD7186">
        <w:t>−</w:t>
      </w:r>
      <w:r w:rsidR="006F0D08" w:rsidRPr="006F0D08">
        <w:t>BASE central and eastern England area</w:t>
      </w:r>
      <w:bookmarkEnd w:id="22"/>
      <w:bookmarkEnd w:id="23"/>
      <w:bookmarkEnd w:id="24"/>
    </w:p>
    <w:p w14:paraId="3DA2AF9B" w14:textId="066EB161" w:rsidR="005551D9" w:rsidRDefault="006F0D08" w:rsidP="005551D9">
      <w:pPr>
        <w:pStyle w:val="BodyText"/>
      </w:pPr>
      <w:r w:rsidRPr="007D1437">
        <w:t xml:space="preserve">The preceding discussion of the X-Y plotting procedure is best explained by using a real example taken from the BGS G-BASE project, as documented in detail in the G-BASE data conditioning procedures </w:t>
      </w:r>
      <w:r w:rsidR="00EF7F56">
        <w:t>m</w:t>
      </w:r>
      <w:r w:rsidRPr="007D1437">
        <w:t xml:space="preserve">anual (Lister and Johnson, 2005). This example shows levelling arising out of routine inspection of control data </w:t>
      </w:r>
      <w:r w:rsidR="006D3007">
        <w:t>before</w:t>
      </w:r>
      <w:r w:rsidRPr="007D1437">
        <w:t xml:space="preserve"> the preparation of a map sheet area sampled and analysed over several years. The data used in this example for K</w:t>
      </w:r>
      <w:r w:rsidRPr="007D1437">
        <w:rPr>
          <w:vertAlign w:val="subscript"/>
        </w:rPr>
        <w:t>2</w:t>
      </w:r>
      <w:r w:rsidRPr="007D1437">
        <w:t xml:space="preserve">O results are given </w:t>
      </w:r>
      <w:r w:rsidRPr="001E151C">
        <w:t xml:space="preserve">in Table </w:t>
      </w:r>
      <w:r w:rsidR="006D2584" w:rsidRPr="001E151C">
        <w:t>8.</w:t>
      </w:r>
      <w:r w:rsidR="005551D9" w:rsidRPr="001E151C">
        <w:t>2</w:t>
      </w:r>
      <w:r w:rsidRPr="001E151C">
        <w:t>, categorised by laboratory batch number.</w:t>
      </w:r>
    </w:p>
    <w:p w14:paraId="54042232" w14:textId="3A72387F" w:rsidR="005551D9" w:rsidRDefault="005551D9" w:rsidP="005551D9">
      <w:pPr>
        <w:pStyle w:val="Tablecaptions"/>
      </w:pPr>
      <w:r w:rsidRPr="00311DB0">
        <w:t>Table 8.2. K</w:t>
      </w:r>
      <w:r w:rsidRPr="00311DB0">
        <w:rPr>
          <w:vertAlign w:val="subscript"/>
        </w:rPr>
        <w:t>2</w:t>
      </w:r>
      <w:r w:rsidRPr="00311DB0">
        <w:t xml:space="preserve">O results of SRM S15B determined by </w:t>
      </w:r>
      <w:r w:rsidR="00461A36">
        <w:t>WD-</w:t>
      </w:r>
      <w:r w:rsidRPr="00311DB0">
        <w:t>XRF</w:t>
      </w:r>
      <w:r w:rsidR="000C1EFB">
        <w:t>S</w:t>
      </w:r>
      <w:r w:rsidRPr="00311DB0">
        <w:t xml:space="preserve"> used for plotting the time series (Shewhart) </w:t>
      </w:r>
      <w:r>
        <w:t>chart</w:t>
      </w:r>
      <w:r w:rsidRPr="00311DB0">
        <w:t xml:space="preserve"> </w:t>
      </w:r>
      <w:r>
        <w:t xml:space="preserve">of </w:t>
      </w:r>
      <w:r w:rsidRPr="000B79E8">
        <w:t xml:space="preserve">Figure 8.5. </w:t>
      </w:r>
      <w:r>
        <w:t xml:space="preserve">Note that the different aliquots of S15B are given regular sample numbers and are inserted in the analytical batches as routine samples not recognisable by the laboratory. </w:t>
      </w:r>
      <w:r w:rsidR="00EA37F2">
        <w:t>T</w:t>
      </w:r>
      <w:r>
        <w:t xml:space="preserve">he laboratory </w:t>
      </w:r>
      <w:r w:rsidR="00EA37F2">
        <w:t xml:space="preserve">must </w:t>
      </w:r>
      <w:r>
        <w:t xml:space="preserve">provide the applied geochemist </w:t>
      </w:r>
      <w:r w:rsidR="00EA37F2">
        <w:t xml:space="preserve">with </w:t>
      </w:r>
      <w:r>
        <w:t xml:space="preserve">the recorded results as extracted from the analytical instrument with </w:t>
      </w:r>
      <w:r w:rsidR="00EA37F2">
        <w:t xml:space="preserve">the </w:t>
      </w:r>
      <w:r>
        <w:t>laboratory batch number and date of analysis. The colours denote the different batches analysed at different dates.</w:t>
      </w:r>
    </w:p>
    <w:tbl>
      <w:tblPr>
        <w:tblW w:w="6516" w:type="dxa"/>
        <w:tblInd w:w="1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0"/>
        <w:gridCol w:w="1418"/>
        <w:gridCol w:w="1134"/>
        <w:gridCol w:w="1559"/>
      </w:tblGrid>
      <w:tr w:rsidR="005551D9" w:rsidRPr="00EC5664" w14:paraId="4E508A67" w14:textId="77777777" w:rsidTr="001E151C">
        <w:trPr>
          <w:trHeight w:val="315"/>
        </w:trPr>
        <w:tc>
          <w:tcPr>
            <w:tcW w:w="1555" w:type="dxa"/>
            <w:shd w:val="clear" w:color="auto" w:fill="D9D9D9" w:themeFill="background1" w:themeFillShade="D9"/>
            <w:noWrap/>
            <w:vAlign w:val="center"/>
            <w:hideMark/>
          </w:tcPr>
          <w:p w14:paraId="3DA0B407" w14:textId="77777777" w:rsidR="005551D9" w:rsidRPr="001E151C" w:rsidRDefault="005551D9" w:rsidP="007C590E">
            <w:pPr>
              <w:jc w:val="center"/>
              <w:rPr>
                <w:rFonts w:eastAsia="Times New Roman" w:cs="Times New Roman"/>
                <w:b/>
                <w:bCs/>
                <w:i/>
                <w:iCs/>
                <w:color w:val="000000"/>
                <w:sz w:val="20"/>
                <w:szCs w:val="20"/>
                <w:lang w:eastAsia="en-GB"/>
              </w:rPr>
            </w:pPr>
            <w:r w:rsidRPr="001E151C">
              <w:rPr>
                <w:rFonts w:eastAsia="Times New Roman" w:cs="Times New Roman"/>
                <w:b/>
                <w:bCs/>
                <w:i/>
                <w:iCs/>
                <w:color w:val="000000"/>
                <w:sz w:val="20"/>
                <w:szCs w:val="20"/>
                <w:lang w:eastAsia="en-GB"/>
              </w:rPr>
              <w:t>Sample No.</w:t>
            </w:r>
          </w:p>
        </w:tc>
        <w:tc>
          <w:tcPr>
            <w:tcW w:w="850" w:type="dxa"/>
            <w:shd w:val="clear" w:color="auto" w:fill="D9D9D9" w:themeFill="background1" w:themeFillShade="D9"/>
            <w:noWrap/>
            <w:vAlign w:val="center"/>
            <w:hideMark/>
          </w:tcPr>
          <w:p w14:paraId="59273E8B" w14:textId="77777777" w:rsidR="005551D9" w:rsidRPr="001E151C" w:rsidRDefault="005551D9" w:rsidP="007C590E">
            <w:pPr>
              <w:jc w:val="center"/>
              <w:rPr>
                <w:rFonts w:eastAsia="Times New Roman" w:cs="Times New Roman"/>
                <w:b/>
                <w:bCs/>
                <w:i/>
                <w:iCs/>
                <w:color w:val="000000"/>
                <w:sz w:val="20"/>
                <w:szCs w:val="20"/>
                <w:lang w:eastAsia="en-GB"/>
              </w:rPr>
            </w:pPr>
            <w:r w:rsidRPr="001E151C">
              <w:rPr>
                <w:rFonts w:eastAsia="Times New Roman" w:cs="Times New Roman"/>
                <w:b/>
                <w:bCs/>
                <w:i/>
                <w:iCs/>
                <w:color w:val="000000"/>
                <w:sz w:val="20"/>
                <w:szCs w:val="20"/>
                <w:lang w:eastAsia="en-GB"/>
              </w:rPr>
              <w:t>SRM</w:t>
            </w:r>
          </w:p>
        </w:tc>
        <w:tc>
          <w:tcPr>
            <w:tcW w:w="1418" w:type="dxa"/>
            <w:shd w:val="clear" w:color="auto" w:fill="D9D9D9" w:themeFill="background1" w:themeFillShade="D9"/>
            <w:noWrap/>
            <w:vAlign w:val="center"/>
            <w:hideMark/>
          </w:tcPr>
          <w:p w14:paraId="519737B5" w14:textId="36AEF367" w:rsidR="005551D9" w:rsidRPr="001E151C" w:rsidRDefault="005551D9" w:rsidP="007C590E">
            <w:pPr>
              <w:jc w:val="center"/>
              <w:rPr>
                <w:rFonts w:eastAsia="Times New Roman" w:cs="Times New Roman"/>
                <w:b/>
                <w:bCs/>
                <w:i/>
                <w:iCs/>
                <w:color w:val="000000"/>
                <w:sz w:val="20"/>
                <w:szCs w:val="20"/>
                <w:lang w:eastAsia="en-GB"/>
              </w:rPr>
            </w:pPr>
            <w:r w:rsidRPr="001E151C">
              <w:rPr>
                <w:rFonts w:eastAsia="Times New Roman" w:cs="Times New Roman"/>
                <w:b/>
                <w:bCs/>
                <w:i/>
                <w:iCs/>
                <w:color w:val="000000"/>
                <w:sz w:val="20"/>
                <w:szCs w:val="20"/>
                <w:lang w:eastAsia="en-GB"/>
              </w:rPr>
              <w:t xml:space="preserve">Laboratory </w:t>
            </w:r>
            <w:r w:rsidR="00BD7186">
              <w:rPr>
                <w:rFonts w:eastAsia="Times New Roman" w:cs="Times New Roman"/>
                <w:b/>
                <w:bCs/>
                <w:i/>
                <w:iCs/>
                <w:color w:val="000000"/>
                <w:sz w:val="20"/>
                <w:szCs w:val="20"/>
                <w:lang w:eastAsia="en-GB"/>
              </w:rPr>
              <w:t xml:space="preserve">batch </w:t>
            </w:r>
            <w:r w:rsidRPr="001E151C">
              <w:rPr>
                <w:rFonts w:eastAsia="Times New Roman" w:cs="Times New Roman"/>
                <w:b/>
                <w:bCs/>
                <w:i/>
                <w:iCs/>
                <w:color w:val="000000"/>
                <w:sz w:val="20"/>
                <w:szCs w:val="20"/>
                <w:lang w:eastAsia="en-GB"/>
              </w:rPr>
              <w:t>No.</w:t>
            </w:r>
          </w:p>
        </w:tc>
        <w:tc>
          <w:tcPr>
            <w:tcW w:w="1134" w:type="dxa"/>
            <w:shd w:val="clear" w:color="auto" w:fill="D9D9D9" w:themeFill="background1" w:themeFillShade="D9"/>
            <w:noWrap/>
            <w:vAlign w:val="center"/>
            <w:hideMark/>
          </w:tcPr>
          <w:p w14:paraId="3140F318" w14:textId="77777777" w:rsidR="005551D9" w:rsidRPr="001E151C" w:rsidRDefault="005551D9" w:rsidP="007C590E">
            <w:pPr>
              <w:jc w:val="center"/>
              <w:rPr>
                <w:rFonts w:eastAsia="Times New Roman" w:cs="Times New Roman"/>
                <w:b/>
                <w:bCs/>
                <w:i/>
                <w:iCs/>
                <w:color w:val="000000"/>
                <w:sz w:val="20"/>
                <w:szCs w:val="20"/>
                <w:lang w:eastAsia="en-GB"/>
              </w:rPr>
            </w:pPr>
            <w:r w:rsidRPr="001E151C">
              <w:rPr>
                <w:rFonts w:eastAsia="Times New Roman" w:cs="Times New Roman"/>
                <w:b/>
                <w:bCs/>
                <w:i/>
                <w:iCs/>
                <w:color w:val="000000"/>
                <w:sz w:val="20"/>
                <w:szCs w:val="20"/>
                <w:lang w:eastAsia="en-GB"/>
              </w:rPr>
              <w:t>Date</w:t>
            </w:r>
          </w:p>
        </w:tc>
        <w:tc>
          <w:tcPr>
            <w:tcW w:w="1559" w:type="dxa"/>
            <w:shd w:val="clear" w:color="auto" w:fill="D9D9D9" w:themeFill="background1" w:themeFillShade="D9"/>
            <w:noWrap/>
            <w:vAlign w:val="center"/>
            <w:hideMark/>
          </w:tcPr>
          <w:p w14:paraId="7E0CE404" w14:textId="4F945B5F" w:rsidR="001E151C" w:rsidRDefault="005551D9" w:rsidP="007C590E">
            <w:pPr>
              <w:jc w:val="center"/>
              <w:rPr>
                <w:rFonts w:eastAsia="Times New Roman" w:cs="Times New Roman"/>
                <w:b/>
                <w:bCs/>
                <w:i/>
                <w:iCs/>
                <w:color w:val="000000"/>
                <w:sz w:val="20"/>
                <w:szCs w:val="20"/>
                <w:lang w:eastAsia="en-GB"/>
              </w:rPr>
            </w:pPr>
            <w:r w:rsidRPr="001E151C">
              <w:rPr>
                <w:rFonts w:eastAsia="Times New Roman" w:cs="Times New Roman"/>
                <w:b/>
                <w:bCs/>
                <w:i/>
                <w:iCs/>
                <w:color w:val="000000"/>
                <w:sz w:val="20"/>
                <w:szCs w:val="20"/>
                <w:lang w:eastAsia="en-GB"/>
              </w:rPr>
              <w:t>K</w:t>
            </w:r>
            <w:r w:rsidRPr="001E151C">
              <w:rPr>
                <w:rFonts w:eastAsia="Times New Roman" w:cs="Times New Roman"/>
                <w:b/>
                <w:bCs/>
                <w:i/>
                <w:iCs/>
                <w:color w:val="000000"/>
                <w:sz w:val="20"/>
                <w:szCs w:val="20"/>
                <w:vertAlign w:val="subscript"/>
                <w:lang w:eastAsia="en-GB"/>
              </w:rPr>
              <w:t>2</w:t>
            </w:r>
            <w:r w:rsidRPr="001E151C">
              <w:rPr>
                <w:rFonts w:eastAsia="Times New Roman" w:cs="Times New Roman"/>
                <w:b/>
                <w:bCs/>
                <w:i/>
                <w:iCs/>
                <w:color w:val="000000"/>
                <w:sz w:val="20"/>
                <w:szCs w:val="20"/>
                <w:lang w:eastAsia="en-GB"/>
              </w:rPr>
              <w:t xml:space="preserve">O% </w:t>
            </w:r>
          </w:p>
          <w:p w14:paraId="23BABF7B" w14:textId="58019CD6" w:rsidR="005551D9" w:rsidRPr="001E151C" w:rsidRDefault="002E3ACB" w:rsidP="007C590E">
            <w:pPr>
              <w:jc w:val="center"/>
              <w:rPr>
                <w:rFonts w:eastAsia="Times New Roman" w:cs="Times New Roman"/>
                <w:b/>
                <w:bCs/>
                <w:i/>
                <w:iCs/>
                <w:color w:val="000000"/>
                <w:sz w:val="20"/>
                <w:szCs w:val="20"/>
                <w:lang w:eastAsia="en-GB"/>
              </w:rPr>
            </w:pPr>
            <w:r>
              <w:rPr>
                <w:rFonts w:eastAsia="Times New Roman" w:cs="Times New Roman"/>
                <w:b/>
                <w:bCs/>
                <w:i/>
                <w:iCs/>
                <w:color w:val="000000"/>
                <w:sz w:val="20"/>
                <w:szCs w:val="20"/>
                <w:lang w:eastAsia="en-GB"/>
              </w:rPr>
              <w:t>WD-</w:t>
            </w:r>
            <w:r w:rsidR="005551D9" w:rsidRPr="001E151C">
              <w:rPr>
                <w:rFonts w:eastAsia="Times New Roman" w:cs="Times New Roman"/>
                <w:b/>
                <w:bCs/>
                <w:i/>
                <w:iCs/>
                <w:color w:val="000000"/>
                <w:sz w:val="20"/>
                <w:szCs w:val="20"/>
                <w:lang w:eastAsia="en-GB"/>
              </w:rPr>
              <w:t>XRF</w:t>
            </w:r>
            <w:r>
              <w:rPr>
                <w:rFonts w:eastAsia="Times New Roman" w:cs="Times New Roman"/>
                <w:b/>
                <w:bCs/>
                <w:i/>
                <w:iCs/>
                <w:color w:val="000000"/>
                <w:sz w:val="20"/>
                <w:szCs w:val="20"/>
                <w:lang w:eastAsia="en-GB"/>
              </w:rPr>
              <w:t>S</w:t>
            </w:r>
          </w:p>
        </w:tc>
      </w:tr>
      <w:tr w:rsidR="005551D9" w:rsidRPr="00EC5664" w14:paraId="7E4BE07E" w14:textId="77777777" w:rsidTr="007C590E">
        <w:trPr>
          <w:trHeight w:val="315"/>
        </w:trPr>
        <w:tc>
          <w:tcPr>
            <w:tcW w:w="1555" w:type="dxa"/>
            <w:shd w:val="clear" w:color="000000" w:fill="FBE4D5"/>
            <w:noWrap/>
            <w:vAlign w:val="center"/>
            <w:hideMark/>
          </w:tcPr>
          <w:p w14:paraId="02DA7E8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440022</w:t>
            </w:r>
          </w:p>
        </w:tc>
        <w:tc>
          <w:tcPr>
            <w:tcW w:w="850" w:type="dxa"/>
            <w:shd w:val="clear" w:color="000000" w:fill="FBE4D5"/>
            <w:noWrap/>
            <w:vAlign w:val="center"/>
            <w:hideMark/>
          </w:tcPr>
          <w:p w14:paraId="1334536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BE4D5"/>
            <w:noWrap/>
            <w:vAlign w:val="center"/>
            <w:hideMark/>
          </w:tcPr>
          <w:p w14:paraId="5970CB9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10372-0010</w:t>
            </w:r>
          </w:p>
        </w:tc>
        <w:tc>
          <w:tcPr>
            <w:tcW w:w="1134" w:type="dxa"/>
            <w:shd w:val="clear" w:color="000000" w:fill="FBE4D5"/>
            <w:noWrap/>
            <w:vAlign w:val="center"/>
            <w:hideMark/>
          </w:tcPr>
          <w:p w14:paraId="573F7F01"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26/6/2003</w:t>
            </w:r>
          </w:p>
        </w:tc>
        <w:tc>
          <w:tcPr>
            <w:tcW w:w="1559" w:type="dxa"/>
            <w:shd w:val="clear" w:color="000000" w:fill="FBE4D5"/>
            <w:noWrap/>
            <w:vAlign w:val="center"/>
            <w:hideMark/>
          </w:tcPr>
          <w:p w14:paraId="39F81BB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3.04</w:t>
            </w:r>
          </w:p>
        </w:tc>
      </w:tr>
      <w:tr w:rsidR="005551D9" w:rsidRPr="00EC5664" w14:paraId="50A967BB" w14:textId="77777777" w:rsidTr="007C590E">
        <w:trPr>
          <w:trHeight w:val="315"/>
        </w:trPr>
        <w:tc>
          <w:tcPr>
            <w:tcW w:w="1555" w:type="dxa"/>
            <w:shd w:val="clear" w:color="000000" w:fill="FBE4D5"/>
            <w:noWrap/>
            <w:vAlign w:val="center"/>
            <w:hideMark/>
          </w:tcPr>
          <w:p w14:paraId="3FF037A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440687</w:t>
            </w:r>
          </w:p>
        </w:tc>
        <w:tc>
          <w:tcPr>
            <w:tcW w:w="850" w:type="dxa"/>
            <w:shd w:val="clear" w:color="000000" w:fill="FBE4D5"/>
            <w:noWrap/>
            <w:vAlign w:val="center"/>
            <w:hideMark/>
          </w:tcPr>
          <w:p w14:paraId="7D93376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BE4D5"/>
            <w:noWrap/>
            <w:vAlign w:val="center"/>
            <w:hideMark/>
          </w:tcPr>
          <w:p w14:paraId="13C1B72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10372-0225</w:t>
            </w:r>
          </w:p>
        </w:tc>
        <w:tc>
          <w:tcPr>
            <w:tcW w:w="1134" w:type="dxa"/>
            <w:shd w:val="clear" w:color="000000" w:fill="FBE4D5"/>
            <w:noWrap/>
            <w:vAlign w:val="center"/>
            <w:hideMark/>
          </w:tcPr>
          <w:p w14:paraId="099B036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6/7/2003</w:t>
            </w:r>
          </w:p>
        </w:tc>
        <w:tc>
          <w:tcPr>
            <w:tcW w:w="1559" w:type="dxa"/>
            <w:shd w:val="clear" w:color="000000" w:fill="FBE4D5"/>
            <w:noWrap/>
            <w:vAlign w:val="center"/>
            <w:hideMark/>
          </w:tcPr>
          <w:p w14:paraId="1ADDF91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r>
      <w:tr w:rsidR="005551D9" w:rsidRPr="00EC5664" w14:paraId="21914DB5" w14:textId="77777777" w:rsidTr="007C590E">
        <w:trPr>
          <w:trHeight w:val="315"/>
        </w:trPr>
        <w:tc>
          <w:tcPr>
            <w:tcW w:w="1555" w:type="dxa"/>
            <w:shd w:val="clear" w:color="000000" w:fill="FBE4D5"/>
            <w:noWrap/>
            <w:vAlign w:val="center"/>
            <w:hideMark/>
          </w:tcPr>
          <w:p w14:paraId="0DFD4741"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440822</w:t>
            </w:r>
          </w:p>
        </w:tc>
        <w:tc>
          <w:tcPr>
            <w:tcW w:w="850" w:type="dxa"/>
            <w:shd w:val="clear" w:color="000000" w:fill="FBE4D5"/>
            <w:noWrap/>
            <w:vAlign w:val="center"/>
            <w:hideMark/>
          </w:tcPr>
          <w:p w14:paraId="48A345A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BE4D5"/>
            <w:noWrap/>
            <w:vAlign w:val="center"/>
            <w:hideMark/>
          </w:tcPr>
          <w:p w14:paraId="3AB4FF7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10372-0260</w:t>
            </w:r>
          </w:p>
        </w:tc>
        <w:tc>
          <w:tcPr>
            <w:tcW w:w="1134" w:type="dxa"/>
            <w:shd w:val="clear" w:color="000000" w:fill="FBE4D5"/>
            <w:noWrap/>
            <w:vAlign w:val="center"/>
            <w:hideMark/>
          </w:tcPr>
          <w:p w14:paraId="4CB9A7F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7/7/2003</w:t>
            </w:r>
          </w:p>
        </w:tc>
        <w:tc>
          <w:tcPr>
            <w:tcW w:w="1559" w:type="dxa"/>
            <w:shd w:val="clear" w:color="000000" w:fill="FBE4D5"/>
            <w:noWrap/>
            <w:vAlign w:val="center"/>
            <w:hideMark/>
          </w:tcPr>
          <w:p w14:paraId="096C7A0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3.02</w:t>
            </w:r>
          </w:p>
        </w:tc>
      </w:tr>
      <w:tr w:rsidR="005551D9" w:rsidRPr="00EC5664" w14:paraId="51F825ED" w14:textId="77777777" w:rsidTr="007C590E">
        <w:trPr>
          <w:trHeight w:val="315"/>
        </w:trPr>
        <w:tc>
          <w:tcPr>
            <w:tcW w:w="1555" w:type="dxa"/>
            <w:shd w:val="clear" w:color="000000" w:fill="FBE4D5"/>
            <w:noWrap/>
            <w:vAlign w:val="center"/>
            <w:hideMark/>
          </w:tcPr>
          <w:p w14:paraId="5E5EEE5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441087</w:t>
            </w:r>
          </w:p>
        </w:tc>
        <w:tc>
          <w:tcPr>
            <w:tcW w:w="850" w:type="dxa"/>
            <w:shd w:val="clear" w:color="000000" w:fill="FBE4D5"/>
            <w:noWrap/>
            <w:vAlign w:val="center"/>
            <w:hideMark/>
          </w:tcPr>
          <w:p w14:paraId="7AE9AA4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BE4D5"/>
            <w:noWrap/>
            <w:vAlign w:val="center"/>
            <w:hideMark/>
          </w:tcPr>
          <w:p w14:paraId="7135AA7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10372-0341</w:t>
            </w:r>
          </w:p>
        </w:tc>
        <w:tc>
          <w:tcPr>
            <w:tcW w:w="1134" w:type="dxa"/>
            <w:shd w:val="clear" w:color="000000" w:fill="FBE4D5"/>
            <w:noWrap/>
            <w:vAlign w:val="center"/>
            <w:hideMark/>
          </w:tcPr>
          <w:p w14:paraId="32D8DD0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12/7/2003</w:t>
            </w:r>
          </w:p>
        </w:tc>
        <w:tc>
          <w:tcPr>
            <w:tcW w:w="1559" w:type="dxa"/>
            <w:shd w:val="clear" w:color="000000" w:fill="FBE4D5"/>
            <w:noWrap/>
            <w:vAlign w:val="center"/>
            <w:hideMark/>
          </w:tcPr>
          <w:p w14:paraId="44A390D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3.04</w:t>
            </w:r>
          </w:p>
        </w:tc>
      </w:tr>
      <w:tr w:rsidR="005551D9" w:rsidRPr="00EC5664" w14:paraId="1B75FD29" w14:textId="77777777" w:rsidTr="007C590E">
        <w:trPr>
          <w:trHeight w:val="315"/>
        </w:trPr>
        <w:tc>
          <w:tcPr>
            <w:tcW w:w="1555" w:type="dxa"/>
            <w:shd w:val="clear" w:color="000000" w:fill="FFF2CC"/>
            <w:noWrap/>
            <w:vAlign w:val="center"/>
            <w:hideMark/>
          </w:tcPr>
          <w:p w14:paraId="37D3DA2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441622</w:t>
            </w:r>
          </w:p>
        </w:tc>
        <w:tc>
          <w:tcPr>
            <w:tcW w:w="850" w:type="dxa"/>
            <w:shd w:val="clear" w:color="000000" w:fill="FFF2CC"/>
            <w:noWrap/>
            <w:vAlign w:val="center"/>
            <w:hideMark/>
          </w:tcPr>
          <w:p w14:paraId="5565CB7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2CC"/>
            <w:noWrap/>
            <w:vAlign w:val="center"/>
            <w:hideMark/>
          </w:tcPr>
          <w:p w14:paraId="3D3B42E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10377-0052</w:t>
            </w:r>
          </w:p>
        </w:tc>
        <w:tc>
          <w:tcPr>
            <w:tcW w:w="1134" w:type="dxa"/>
            <w:shd w:val="clear" w:color="000000" w:fill="FFF2CC"/>
            <w:noWrap/>
            <w:vAlign w:val="center"/>
            <w:hideMark/>
          </w:tcPr>
          <w:p w14:paraId="2582C4B4"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22/7/2003</w:t>
            </w:r>
          </w:p>
        </w:tc>
        <w:tc>
          <w:tcPr>
            <w:tcW w:w="1559" w:type="dxa"/>
            <w:shd w:val="clear" w:color="000000" w:fill="FFF2CC"/>
            <w:noWrap/>
            <w:vAlign w:val="center"/>
            <w:hideMark/>
          </w:tcPr>
          <w:p w14:paraId="24C101F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r>
      <w:tr w:rsidR="005551D9" w:rsidRPr="00EC5664" w14:paraId="7937B1A0" w14:textId="77777777" w:rsidTr="007C590E">
        <w:trPr>
          <w:trHeight w:val="315"/>
        </w:trPr>
        <w:tc>
          <w:tcPr>
            <w:tcW w:w="1555" w:type="dxa"/>
            <w:shd w:val="clear" w:color="000000" w:fill="FFF2CC"/>
            <w:noWrap/>
            <w:vAlign w:val="center"/>
            <w:hideMark/>
          </w:tcPr>
          <w:p w14:paraId="187DD4DB"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441887</w:t>
            </w:r>
          </w:p>
        </w:tc>
        <w:tc>
          <w:tcPr>
            <w:tcW w:w="850" w:type="dxa"/>
            <w:shd w:val="clear" w:color="000000" w:fill="FFF2CC"/>
            <w:noWrap/>
            <w:vAlign w:val="center"/>
            <w:hideMark/>
          </w:tcPr>
          <w:p w14:paraId="2E5B898F"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2CC"/>
            <w:noWrap/>
            <w:vAlign w:val="center"/>
            <w:hideMark/>
          </w:tcPr>
          <w:p w14:paraId="08B90F0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10377-0109</w:t>
            </w:r>
          </w:p>
        </w:tc>
        <w:tc>
          <w:tcPr>
            <w:tcW w:w="1134" w:type="dxa"/>
            <w:shd w:val="clear" w:color="000000" w:fill="FFF2CC"/>
            <w:noWrap/>
            <w:vAlign w:val="center"/>
            <w:hideMark/>
          </w:tcPr>
          <w:p w14:paraId="3E82AF2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25/7/2003</w:t>
            </w:r>
          </w:p>
        </w:tc>
        <w:tc>
          <w:tcPr>
            <w:tcW w:w="1559" w:type="dxa"/>
            <w:shd w:val="clear" w:color="000000" w:fill="FFF2CC"/>
            <w:noWrap/>
            <w:vAlign w:val="center"/>
            <w:hideMark/>
          </w:tcPr>
          <w:p w14:paraId="3687223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2.86</w:t>
            </w:r>
          </w:p>
        </w:tc>
      </w:tr>
      <w:tr w:rsidR="005551D9" w:rsidRPr="00EC5664" w14:paraId="28A250F1" w14:textId="77777777" w:rsidTr="007C590E">
        <w:trPr>
          <w:trHeight w:val="315"/>
        </w:trPr>
        <w:tc>
          <w:tcPr>
            <w:tcW w:w="1555" w:type="dxa"/>
            <w:shd w:val="clear" w:color="000000" w:fill="FFF2CC"/>
            <w:noWrap/>
            <w:vAlign w:val="center"/>
            <w:hideMark/>
          </w:tcPr>
          <w:p w14:paraId="68A642A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442128</w:t>
            </w:r>
          </w:p>
        </w:tc>
        <w:tc>
          <w:tcPr>
            <w:tcW w:w="850" w:type="dxa"/>
            <w:shd w:val="clear" w:color="000000" w:fill="FFF2CC"/>
            <w:noWrap/>
            <w:vAlign w:val="center"/>
            <w:hideMark/>
          </w:tcPr>
          <w:p w14:paraId="4D58FB4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2CC"/>
            <w:noWrap/>
            <w:vAlign w:val="center"/>
            <w:hideMark/>
          </w:tcPr>
          <w:p w14:paraId="69ACCC7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10377-0196</w:t>
            </w:r>
          </w:p>
        </w:tc>
        <w:tc>
          <w:tcPr>
            <w:tcW w:w="1134" w:type="dxa"/>
            <w:shd w:val="clear" w:color="000000" w:fill="FFF2CC"/>
            <w:noWrap/>
            <w:vAlign w:val="center"/>
            <w:hideMark/>
          </w:tcPr>
          <w:p w14:paraId="252D3D9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29/7/2003</w:t>
            </w:r>
          </w:p>
        </w:tc>
        <w:tc>
          <w:tcPr>
            <w:tcW w:w="1559" w:type="dxa"/>
            <w:shd w:val="clear" w:color="000000" w:fill="FFF2CC"/>
            <w:noWrap/>
            <w:vAlign w:val="center"/>
            <w:hideMark/>
          </w:tcPr>
          <w:p w14:paraId="539F7D9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2.83</w:t>
            </w:r>
          </w:p>
        </w:tc>
      </w:tr>
      <w:tr w:rsidR="005551D9" w:rsidRPr="00EC5664" w14:paraId="4F979607" w14:textId="77777777" w:rsidTr="007C590E">
        <w:trPr>
          <w:trHeight w:val="315"/>
        </w:trPr>
        <w:tc>
          <w:tcPr>
            <w:tcW w:w="1555" w:type="dxa"/>
            <w:shd w:val="clear" w:color="000000" w:fill="D9E2F3"/>
            <w:noWrap/>
            <w:vAlign w:val="center"/>
            <w:hideMark/>
          </w:tcPr>
          <w:p w14:paraId="7607F8C7"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440287</w:t>
            </w:r>
          </w:p>
        </w:tc>
        <w:tc>
          <w:tcPr>
            <w:tcW w:w="850" w:type="dxa"/>
            <w:shd w:val="clear" w:color="000000" w:fill="D9E2F3"/>
            <w:noWrap/>
            <w:vAlign w:val="center"/>
            <w:hideMark/>
          </w:tcPr>
          <w:p w14:paraId="2ADFD23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D9E2F3"/>
            <w:noWrap/>
            <w:vAlign w:val="center"/>
            <w:hideMark/>
          </w:tcPr>
          <w:p w14:paraId="679085C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10372-0102</w:t>
            </w:r>
          </w:p>
        </w:tc>
        <w:tc>
          <w:tcPr>
            <w:tcW w:w="1134" w:type="dxa"/>
            <w:shd w:val="clear" w:color="000000" w:fill="D9E2F3"/>
            <w:noWrap/>
            <w:vAlign w:val="center"/>
            <w:hideMark/>
          </w:tcPr>
          <w:p w14:paraId="2E6948E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9/10/2003</w:t>
            </w:r>
          </w:p>
        </w:tc>
        <w:tc>
          <w:tcPr>
            <w:tcW w:w="1559" w:type="dxa"/>
            <w:shd w:val="clear" w:color="000000" w:fill="D9E2F3"/>
            <w:noWrap/>
            <w:vAlign w:val="center"/>
            <w:hideMark/>
          </w:tcPr>
          <w:p w14:paraId="181DF047"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r>
      <w:tr w:rsidR="005551D9" w:rsidRPr="00EC5664" w14:paraId="09582C6A" w14:textId="77777777" w:rsidTr="007C590E">
        <w:trPr>
          <w:trHeight w:val="315"/>
        </w:trPr>
        <w:tc>
          <w:tcPr>
            <w:tcW w:w="1555" w:type="dxa"/>
            <w:shd w:val="clear" w:color="000000" w:fill="D9E2F3"/>
            <w:noWrap/>
            <w:vAlign w:val="center"/>
            <w:hideMark/>
          </w:tcPr>
          <w:p w14:paraId="05637A44"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440422</w:t>
            </w:r>
          </w:p>
        </w:tc>
        <w:tc>
          <w:tcPr>
            <w:tcW w:w="850" w:type="dxa"/>
            <w:shd w:val="clear" w:color="000000" w:fill="D9E2F3"/>
            <w:noWrap/>
            <w:vAlign w:val="center"/>
            <w:hideMark/>
          </w:tcPr>
          <w:p w14:paraId="54562F8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D9E2F3"/>
            <w:noWrap/>
            <w:vAlign w:val="center"/>
            <w:hideMark/>
          </w:tcPr>
          <w:p w14:paraId="09697FE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10372-0150</w:t>
            </w:r>
          </w:p>
        </w:tc>
        <w:tc>
          <w:tcPr>
            <w:tcW w:w="1134" w:type="dxa"/>
            <w:shd w:val="clear" w:color="000000" w:fill="D9E2F3"/>
            <w:noWrap/>
            <w:vAlign w:val="center"/>
            <w:hideMark/>
          </w:tcPr>
          <w:p w14:paraId="2F5C3CB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13/10/2003</w:t>
            </w:r>
          </w:p>
        </w:tc>
        <w:tc>
          <w:tcPr>
            <w:tcW w:w="1559" w:type="dxa"/>
            <w:shd w:val="clear" w:color="000000" w:fill="D9E2F3"/>
            <w:noWrap/>
            <w:vAlign w:val="center"/>
            <w:hideMark/>
          </w:tcPr>
          <w:p w14:paraId="0092587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r>
      <w:tr w:rsidR="005551D9" w:rsidRPr="00EC5664" w14:paraId="54BDFE22" w14:textId="77777777" w:rsidTr="007C590E">
        <w:trPr>
          <w:trHeight w:val="315"/>
        </w:trPr>
        <w:tc>
          <w:tcPr>
            <w:tcW w:w="1555" w:type="dxa"/>
            <w:shd w:val="clear" w:color="000000" w:fill="E2EFD9"/>
            <w:noWrap/>
            <w:vAlign w:val="center"/>
            <w:hideMark/>
          </w:tcPr>
          <w:p w14:paraId="16ACA2E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444022</w:t>
            </w:r>
          </w:p>
        </w:tc>
        <w:tc>
          <w:tcPr>
            <w:tcW w:w="850" w:type="dxa"/>
            <w:shd w:val="clear" w:color="000000" w:fill="E2EFD9"/>
            <w:noWrap/>
            <w:vAlign w:val="center"/>
            <w:hideMark/>
          </w:tcPr>
          <w:p w14:paraId="77F2F07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E2EFD9"/>
            <w:noWrap/>
            <w:vAlign w:val="center"/>
            <w:hideMark/>
          </w:tcPr>
          <w:p w14:paraId="3E00EF2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10587-0022</w:t>
            </w:r>
          </w:p>
        </w:tc>
        <w:tc>
          <w:tcPr>
            <w:tcW w:w="1134" w:type="dxa"/>
            <w:shd w:val="clear" w:color="000000" w:fill="E2EFD9"/>
            <w:noWrap/>
            <w:vAlign w:val="center"/>
            <w:hideMark/>
          </w:tcPr>
          <w:p w14:paraId="44E441A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25/12/2003</w:t>
            </w:r>
          </w:p>
        </w:tc>
        <w:tc>
          <w:tcPr>
            <w:tcW w:w="1559" w:type="dxa"/>
            <w:shd w:val="clear" w:color="000000" w:fill="E2EFD9"/>
            <w:noWrap/>
            <w:vAlign w:val="center"/>
            <w:hideMark/>
          </w:tcPr>
          <w:p w14:paraId="03B869C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2.75</w:t>
            </w:r>
          </w:p>
        </w:tc>
      </w:tr>
      <w:tr w:rsidR="005551D9" w:rsidRPr="00EC5664" w14:paraId="56C9619D" w14:textId="77777777" w:rsidTr="007C590E">
        <w:trPr>
          <w:trHeight w:val="315"/>
        </w:trPr>
        <w:tc>
          <w:tcPr>
            <w:tcW w:w="1555" w:type="dxa"/>
            <w:shd w:val="clear" w:color="000000" w:fill="E2EFD9"/>
            <w:noWrap/>
            <w:vAlign w:val="center"/>
            <w:hideMark/>
          </w:tcPr>
          <w:p w14:paraId="17CB433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442422</w:t>
            </w:r>
          </w:p>
        </w:tc>
        <w:tc>
          <w:tcPr>
            <w:tcW w:w="850" w:type="dxa"/>
            <w:shd w:val="clear" w:color="000000" w:fill="E2EFD9"/>
            <w:noWrap/>
            <w:vAlign w:val="center"/>
            <w:hideMark/>
          </w:tcPr>
          <w:p w14:paraId="6BDE0E7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E2EFD9"/>
            <w:noWrap/>
            <w:vAlign w:val="center"/>
            <w:hideMark/>
          </w:tcPr>
          <w:p w14:paraId="40DDA64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10587-0026</w:t>
            </w:r>
          </w:p>
        </w:tc>
        <w:tc>
          <w:tcPr>
            <w:tcW w:w="1134" w:type="dxa"/>
            <w:shd w:val="clear" w:color="000000" w:fill="E2EFD9"/>
            <w:noWrap/>
            <w:vAlign w:val="center"/>
            <w:hideMark/>
          </w:tcPr>
          <w:p w14:paraId="1240AA5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25/12/2003</w:t>
            </w:r>
          </w:p>
        </w:tc>
        <w:tc>
          <w:tcPr>
            <w:tcW w:w="1559" w:type="dxa"/>
            <w:shd w:val="clear" w:color="000000" w:fill="E2EFD9"/>
            <w:noWrap/>
            <w:vAlign w:val="center"/>
            <w:hideMark/>
          </w:tcPr>
          <w:p w14:paraId="55D490F1"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2.83</w:t>
            </w:r>
          </w:p>
        </w:tc>
      </w:tr>
      <w:tr w:rsidR="005551D9" w:rsidRPr="00EC5664" w14:paraId="3CCEF712" w14:textId="77777777" w:rsidTr="007C590E">
        <w:trPr>
          <w:trHeight w:val="315"/>
        </w:trPr>
        <w:tc>
          <w:tcPr>
            <w:tcW w:w="1555" w:type="dxa"/>
            <w:shd w:val="clear" w:color="000000" w:fill="E2EFD9"/>
            <w:noWrap/>
            <w:vAlign w:val="center"/>
            <w:hideMark/>
          </w:tcPr>
          <w:p w14:paraId="06B2ABB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444217</w:t>
            </w:r>
          </w:p>
        </w:tc>
        <w:tc>
          <w:tcPr>
            <w:tcW w:w="850" w:type="dxa"/>
            <w:shd w:val="clear" w:color="000000" w:fill="E2EFD9"/>
            <w:noWrap/>
            <w:vAlign w:val="center"/>
            <w:hideMark/>
          </w:tcPr>
          <w:p w14:paraId="0F73342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E2EFD9"/>
            <w:noWrap/>
            <w:vAlign w:val="center"/>
            <w:hideMark/>
          </w:tcPr>
          <w:p w14:paraId="51A3678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10587-0064</w:t>
            </w:r>
          </w:p>
        </w:tc>
        <w:tc>
          <w:tcPr>
            <w:tcW w:w="1134" w:type="dxa"/>
            <w:shd w:val="clear" w:color="000000" w:fill="E2EFD9"/>
            <w:noWrap/>
            <w:vAlign w:val="center"/>
            <w:hideMark/>
          </w:tcPr>
          <w:p w14:paraId="04C7467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28/12/2003</w:t>
            </w:r>
          </w:p>
        </w:tc>
        <w:tc>
          <w:tcPr>
            <w:tcW w:w="1559" w:type="dxa"/>
            <w:shd w:val="clear" w:color="000000" w:fill="E2EFD9"/>
            <w:noWrap/>
            <w:vAlign w:val="center"/>
            <w:hideMark/>
          </w:tcPr>
          <w:p w14:paraId="6BE7F5D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2.79</w:t>
            </w:r>
          </w:p>
        </w:tc>
      </w:tr>
      <w:tr w:rsidR="005551D9" w:rsidRPr="00EC5664" w14:paraId="00022BD0" w14:textId="77777777" w:rsidTr="007C590E">
        <w:trPr>
          <w:trHeight w:val="315"/>
        </w:trPr>
        <w:tc>
          <w:tcPr>
            <w:tcW w:w="1555" w:type="dxa"/>
            <w:shd w:val="clear" w:color="000000" w:fill="FFFFCC"/>
            <w:noWrap/>
            <w:vAlign w:val="center"/>
            <w:hideMark/>
          </w:tcPr>
          <w:p w14:paraId="6AE94FC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442928</w:t>
            </w:r>
          </w:p>
        </w:tc>
        <w:tc>
          <w:tcPr>
            <w:tcW w:w="850" w:type="dxa"/>
            <w:shd w:val="clear" w:color="000000" w:fill="FFFFCC"/>
            <w:noWrap/>
            <w:vAlign w:val="center"/>
            <w:hideMark/>
          </w:tcPr>
          <w:p w14:paraId="13A6176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FCC"/>
            <w:noWrap/>
            <w:vAlign w:val="center"/>
            <w:hideMark/>
          </w:tcPr>
          <w:p w14:paraId="65DD88F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10586-0190</w:t>
            </w:r>
          </w:p>
        </w:tc>
        <w:tc>
          <w:tcPr>
            <w:tcW w:w="1134" w:type="dxa"/>
            <w:shd w:val="clear" w:color="000000" w:fill="FFFFCC"/>
            <w:noWrap/>
            <w:vAlign w:val="center"/>
            <w:hideMark/>
          </w:tcPr>
          <w:p w14:paraId="7EDB3EF1"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15/1/2004</w:t>
            </w:r>
          </w:p>
        </w:tc>
        <w:tc>
          <w:tcPr>
            <w:tcW w:w="1559" w:type="dxa"/>
            <w:shd w:val="clear" w:color="000000" w:fill="FFFFCC"/>
            <w:noWrap/>
            <w:vAlign w:val="center"/>
            <w:hideMark/>
          </w:tcPr>
          <w:p w14:paraId="3C0AA90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r>
      <w:tr w:rsidR="005551D9" w:rsidRPr="00EC5664" w14:paraId="3C5C2986" w14:textId="77777777" w:rsidTr="007C590E">
        <w:trPr>
          <w:trHeight w:val="315"/>
        </w:trPr>
        <w:tc>
          <w:tcPr>
            <w:tcW w:w="1555" w:type="dxa"/>
            <w:shd w:val="clear" w:color="000000" w:fill="FFFFCC"/>
            <w:noWrap/>
            <w:vAlign w:val="center"/>
            <w:hideMark/>
          </w:tcPr>
          <w:p w14:paraId="6E5770A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443196</w:t>
            </w:r>
          </w:p>
        </w:tc>
        <w:tc>
          <w:tcPr>
            <w:tcW w:w="850" w:type="dxa"/>
            <w:shd w:val="clear" w:color="000000" w:fill="FFFFCC"/>
            <w:noWrap/>
            <w:vAlign w:val="center"/>
            <w:hideMark/>
          </w:tcPr>
          <w:p w14:paraId="2B888E7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FCC"/>
            <w:noWrap/>
            <w:vAlign w:val="center"/>
            <w:hideMark/>
          </w:tcPr>
          <w:p w14:paraId="30CDE82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10586-0280</w:t>
            </w:r>
          </w:p>
        </w:tc>
        <w:tc>
          <w:tcPr>
            <w:tcW w:w="1134" w:type="dxa"/>
            <w:shd w:val="clear" w:color="000000" w:fill="FFFFCC"/>
            <w:noWrap/>
            <w:vAlign w:val="center"/>
            <w:hideMark/>
          </w:tcPr>
          <w:p w14:paraId="6650359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23/1/2004</w:t>
            </w:r>
          </w:p>
        </w:tc>
        <w:tc>
          <w:tcPr>
            <w:tcW w:w="1559" w:type="dxa"/>
            <w:shd w:val="clear" w:color="000000" w:fill="FFFFCC"/>
            <w:noWrap/>
            <w:vAlign w:val="center"/>
            <w:hideMark/>
          </w:tcPr>
          <w:p w14:paraId="2E24299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2.77</w:t>
            </w:r>
          </w:p>
        </w:tc>
      </w:tr>
      <w:tr w:rsidR="005551D9" w:rsidRPr="00EC5664" w14:paraId="127850F6" w14:textId="77777777" w:rsidTr="007C590E">
        <w:trPr>
          <w:trHeight w:val="315"/>
        </w:trPr>
        <w:tc>
          <w:tcPr>
            <w:tcW w:w="1555" w:type="dxa"/>
            <w:shd w:val="clear" w:color="000000" w:fill="FFFFCC"/>
            <w:noWrap/>
            <w:vAlign w:val="center"/>
            <w:hideMark/>
          </w:tcPr>
          <w:p w14:paraId="36B1BED7"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443417</w:t>
            </w:r>
          </w:p>
        </w:tc>
        <w:tc>
          <w:tcPr>
            <w:tcW w:w="850" w:type="dxa"/>
            <w:shd w:val="clear" w:color="000000" w:fill="FFFFCC"/>
            <w:noWrap/>
            <w:vAlign w:val="center"/>
            <w:hideMark/>
          </w:tcPr>
          <w:p w14:paraId="5BF30AA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FCC"/>
            <w:noWrap/>
            <w:vAlign w:val="center"/>
            <w:hideMark/>
          </w:tcPr>
          <w:p w14:paraId="15EDA77B"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10586-0346</w:t>
            </w:r>
          </w:p>
        </w:tc>
        <w:tc>
          <w:tcPr>
            <w:tcW w:w="1134" w:type="dxa"/>
            <w:shd w:val="clear" w:color="000000" w:fill="FFFFCC"/>
            <w:noWrap/>
            <w:vAlign w:val="center"/>
            <w:hideMark/>
          </w:tcPr>
          <w:p w14:paraId="593ECD3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28/1/2004</w:t>
            </w:r>
          </w:p>
        </w:tc>
        <w:tc>
          <w:tcPr>
            <w:tcW w:w="1559" w:type="dxa"/>
            <w:shd w:val="clear" w:color="000000" w:fill="FFFFCC"/>
            <w:noWrap/>
            <w:vAlign w:val="center"/>
            <w:hideMark/>
          </w:tcPr>
          <w:p w14:paraId="59544F7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2.78</w:t>
            </w:r>
          </w:p>
        </w:tc>
      </w:tr>
      <w:tr w:rsidR="005551D9" w:rsidRPr="00EC5664" w14:paraId="6E424901" w14:textId="77777777" w:rsidTr="007C590E">
        <w:trPr>
          <w:trHeight w:val="315"/>
        </w:trPr>
        <w:tc>
          <w:tcPr>
            <w:tcW w:w="1555" w:type="dxa"/>
            <w:shd w:val="clear" w:color="000000" w:fill="FFFFCC"/>
            <w:noWrap/>
            <w:vAlign w:val="center"/>
            <w:hideMark/>
          </w:tcPr>
          <w:p w14:paraId="2CC6959B"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443668</w:t>
            </w:r>
          </w:p>
        </w:tc>
        <w:tc>
          <w:tcPr>
            <w:tcW w:w="850" w:type="dxa"/>
            <w:shd w:val="clear" w:color="000000" w:fill="FFFFCC"/>
            <w:noWrap/>
            <w:vAlign w:val="center"/>
            <w:hideMark/>
          </w:tcPr>
          <w:p w14:paraId="5966238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FCC"/>
            <w:noWrap/>
            <w:vAlign w:val="center"/>
            <w:hideMark/>
          </w:tcPr>
          <w:p w14:paraId="3E6E42D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10586-0417</w:t>
            </w:r>
          </w:p>
        </w:tc>
        <w:tc>
          <w:tcPr>
            <w:tcW w:w="1134" w:type="dxa"/>
            <w:shd w:val="clear" w:color="000000" w:fill="FFFFCC"/>
            <w:noWrap/>
            <w:vAlign w:val="center"/>
            <w:hideMark/>
          </w:tcPr>
          <w:p w14:paraId="2708216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2/2/2004</w:t>
            </w:r>
          </w:p>
        </w:tc>
        <w:tc>
          <w:tcPr>
            <w:tcW w:w="1559" w:type="dxa"/>
            <w:shd w:val="clear" w:color="000000" w:fill="FFFFCC"/>
            <w:noWrap/>
            <w:vAlign w:val="center"/>
            <w:hideMark/>
          </w:tcPr>
          <w:p w14:paraId="7DF655B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2.76</w:t>
            </w:r>
          </w:p>
        </w:tc>
      </w:tr>
      <w:tr w:rsidR="005551D9" w:rsidRPr="00EC5664" w14:paraId="52625C4B" w14:textId="77777777" w:rsidTr="007C590E">
        <w:trPr>
          <w:trHeight w:val="315"/>
        </w:trPr>
        <w:tc>
          <w:tcPr>
            <w:tcW w:w="1555" w:type="dxa"/>
            <w:shd w:val="clear" w:color="000000" w:fill="FFFFCC"/>
            <w:noWrap/>
            <w:vAlign w:val="center"/>
            <w:hideMark/>
          </w:tcPr>
          <w:p w14:paraId="7FF7A62B"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443947</w:t>
            </w:r>
          </w:p>
        </w:tc>
        <w:tc>
          <w:tcPr>
            <w:tcW w:w="850" w:type="dxa"/>
            <w:shd w:val="clear" w:color="000000" w:fill="FFFFCC"/>
            <w:noWrap/>
            <w:vAlign w:val="center"/>
            <w:hideMark/>
          </w:tcPr>
          <w:p w14:paraId="5AAEB4B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FFCC"/>
            <w:noWrap/>
            <w:vAlign w:val="center"/>
            <w:hideMark/>
          </w:tcPr>
          <w:p w14:paraId="7B58668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10586-0509</w:t>
            </w:r>
          </w:p>
        </w:tc>
        <w:tc>
          <w:tcPr>
            <w:tcW w:w="1134" w:type="dxa"/>
            <w:shd w:val="clear" w:color="000000" w:fill="FFFFCC"/>
            <w:noWrap/>
            <w:vAlign w:val="center"/>
            <w:hideMark/>
          </w:tcPr>
          <w:p w14:paraId="0962989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16/2/2004</w:t>
            </w:r>
          </w:p>
        </w:tc>
        <w:tc>
          <w:tcPr>
            <w:tcW w:w="1559" w:type="dxa"/>
            <w:shd w:val="clear" w:color="000000" w:fill="FFFFCC"/>
            <w:noWrap/>
            <w:vAlign w:val="center"/>
            <w:hideMark/>
          </w:tcPr>
          <w:p w14:paraId="2684DEC1"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2.76</w:t>
            </w:r>
          </w:p>
        </w:tc>
      </w:tr>
      <w:tr w:rsidR="005551D9" w:rsidRPr="00EC5664" w14:paraId="273F5CD6" w14:textId="77777777" w:rsidTr="007C590E">
        <w:trPr>
          <w:trHeight w:val="315"/>
        </w:trPr>
        <w:tc>
          <w:tcPr>
            <w:tcW w:w="1555" w:type="dxa"/>
            <w:shd w:val="clear" w:color="000000" w:fill="DEEAF6"/>
            <w:noWrap/>
            <w:vAlign w:val="center"/>
            <w:hideMark/>
          </w:tcPr>
          <w:p w14:paraId="227B7C5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444617</w:t>
            </w:r>
          </w:p>
        </w:tc>
        <w:tc>
          <w:tcPr>
            <w:tcW w:w="850" w:type="dxa"/>
            <w:shd w:val="clear" w:color="000000" w:fill="DEEAF6"/>
            <w:noWrap/>
            <w:vAlign w:val="center"/>
            <w:hideMark/>
          </w:tcPr>
          <w:p w14:paraId="765E004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DEEAF6"/>
            <w:noWrap/>
            <w:vAlign w:val="center"/>
            <w:hideMark/>
          </w:tcPr>
          <w:p w14:paraId="0F3E7CF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10719-0109</w:t>
            </w:r>
          </w:p>
        </w:tc>
        <w:tc>
          <w:tcPr>
            <w:tcW w:w="1134" w:type="dxa"/>
            <w:shd w:val="clear" w:color="000000" w:fill="DEEAF6"/>
            <w:noWrap/>
            <w:vAlign w:val="center"/>
            <w:hideMark/>
          </w:tcPr>
          <w:p w14:paraId="6B4DC8D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27/5/2004</w:t>
            </w:r>
          </w:p>
        </w:tc>
        <w:tc>
          <w:tcPr>
            <w:tcW w:w="1559" w:type="dxa"/>
            <w:shd w:val="clear" w:color="000000" w:fill="DEEAF6"/>
            <w:noWrap/>
            <w:vAlign w:val="center"/>
            <w:hideMark/>
          </w:tcPr>
          <w:p w14:paraId="221F565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r>
      <w:tr w:rsidR="005551D9" w:rsidRPr="00EC5664" w14:paraId="3FCB5715" w14:textId="77777777" w:rsidTr="007C590E">
        <w:trPr>
          <w:trHeight w:val="315"/>
        </w:trPr>
        <w:tc>
          <w:tcPr>
            <w:tcW w:w="1555" w:type="dxa"/>
            <w:shd w:val="clear" w:color="000000" w:fill="DEEAF6"/>
            <w:noWrap/>
            <w:vAlign w:val="center"/>
            <w:hideMark/>
          </w:tcPr>
          <w:p w14:paraId="44D9377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445087</w:t>
            </w:r>
          </w:p>
        </w:tc>
        <w:tc>
          <w:tcPr>
            <w:tcW w:w="850" w:type="dxa"/>
            <w:shd w:val="clear" w:color="000000" w:fill="DEEAF6"/>
            <w:noWrap/>
            <w:vAlign w:val="center"/>
            <w:hideMark/>
          </w:tcPr>
          <w:p w14:paraId="5C30984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DEEAF6"/>
            <w:noWrap/>
            <w:vAlign w:val="center"/>
            <w:hideMark/>
          </w:tcPr>
          <w:p w14:paraId="4F4EDEC4"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10719-0373</w:t>
            </w:r>
          </w:p>
        </w:tc>
        <w:tc>
          <w:tcPr>
            <w:tcW w:w="1134" w:type="dxa"/>
            <w:shd w:val="clear" w:color="000000" w:fill="DEEAF6"/>
            <w:noWrap/>
            <w:vAlign w:val="center"/>
            <w:hideMark/>
          </w:tcPr>
          <w:p w14:paraId="1FC4F287"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16/6/2004</w:t>
            </w:r>
          </w:p>
        </w:tc>
        <w:tc>
          <w:tcPr>
            <w:tcW w:w="1559" w:type="dxa"/>
            <w:shd w:val="clear" w:color="000000" w:fill="DEEAF6"/>
            <w:noWrap/>
            <w:vAlign w:val="center"/>
            <w:hideMark/>
          </w:tcPr>
          <w:p w14:paraId="6198D90B"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r>
      <w:tr w:rsidR="005551D9" w:rsidRPr="00EC5664" w14:paraId="14CB6FE0" w14:textId="77777777" w:rsidTr="007C590E">
        <w:trPr>
          <w:trHeight w:val="315"/>
        </w:trPr>
        <w:tc>
          <w:tcPr>
            <w:tcW w:w="1555" w:type="dxa"/>
            <w:shd w:val="clear" w:color="000000" w:fill="C6E0B4"/>
            <w:noWrap/>
            <w:vAlign w:val="center"/>
            <w:hideMark/>
          </w:tcPr>
          <w:p w14:paraId="76D8A38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445622</w:t>
            </w:r>
          </w:p>
        </w:tc>
        <w:tc>
          <w:tcPr>
            <w:tcW w:w="850" w:type="dxa"/>
            <w:shd w:val="clear" w:color="000000" w:fill="C6E0B4"/>
            <w:noWrap/>
            <w:vAlign w:val="center"/>
            <w:hideMark/>
          </w:tcPr>
          <w:p w14:paraId="70068F9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C6E0B4"/>
            <w:noWrap/>
            <w:vAlign w:val="center"/>
            <w:hideMark/>
          </w:tcPr>
          <w:p w14:paraId="46C079F0"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10721-0097</w:t>
            </w:r>
          </w:p>
        </w:tc>
        <w:tc>
          <w:tcPr>
            <w:tcW w:w="1134" w:type="dxa"/>
            <w:shd w:val="clear" w:color="000000" w:fill="C6E0B4"/>
            <w:noWrap/>
            <w:vAlign w:val="center"/>
            <w:hideMark/>
          </w:tcPr>
          <w:p w14:paraId="6112C86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2/7/2004</w:t>
            </w:r>
          </w:p>
        </w:tc>
        <w:tc>
          <w:tcPr>
            <w:tcW w:w="1559" w:type="dxa"/>
            <w:shd w:val="clear" w:color="000000" w:fill="C6E0B4"/>
            <w:noWrap/>
            <w:vAlign w:val="center"/>
            <w:hideMark/>
          </w:tcPr>
          <w:p w14:paraId="289FC814"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2.73</w:t>
            </w:r>
          </w:p>
        </w:tc>
      </w:tr>
      <w:tr w:rsidR="005551D9" w:rsidRPr="00EC5664" w14:paraId="0EFDD03B" w14:textId="77777777" w:rsidTr="007C590E">
        <w:trPr>
          <w:trHeight w:val="315"/>
        </w:trPr>
        <w:tc>
          <w:tcPr>
            <w:tcW w:w="1555" w:type="dxa"/>
            <w:shd w:val="clear" w:color="000000" w:fill="FFE699"/>
            <w:noWrap/>
            <w:vAlign w:val="center"/>
            <w:hideMark/>
          </w:tcPr>
          <w:p w14:paraId="5B8F983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445828</w:t>
            </w:r>
          </w:p>
        </w:tc>
        <w:tc>
          <w:tcPr>
            <w:tcW w:w="850" w:type="dxa"/>
            <w:shd w:val="clear" w:color="000000" w:fill="FFE699"/>
            <w:noWrap/>
            <w:vAlign w:val="center"/>
            <w:hideMark/>
          </w:tcPr>
          <w:p w14:paraId="2ECFB73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E699"/>
            <w:noWrap/>
            <w:vAlign w:val="center"/>
            <w:hideMark/>
          </w:tcPr>
          <w:p w14:paraId="71B4CA7D"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10994-0048</w:t>
            </w:r>
          </w:p>
        </w:tc>
        <w:tc>
          <w:tcPr>
            <w:tcW w:w="1134" w:type="dxa"/>
            <w:shd w:val="clear" w:color="000000" w:fill="FFE699"/>
            <w:noWrap/>
            <w:vAlign w:val="center"/>
            <w:hideMark/>
          </w:tcPr>
          <w:p w14:paraId="3FC913DF"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27/12/2004</w:t>
            </w:r>
          </w:p>
        </w:tc>
        <w:tc>
          <w:tcPr>
            <w:tcW w:w="1559" w:type="dxa"/>
            <w:shd w:val="clear" w:color="000000" w:fill="FFE699"/>
            <w:noWrap/>
            <w:vAlign w:val="center"/>
            <w:hideMark/>
          </w:tcPr>
          <w:p w14:paraId="200C329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2.72</w:t>
            </w:r>
          </w:p>
        </w:tc>
      </w:tr>
      <w:tr w:rsidR="005551D9" w:rsidRPr="00EC5664" w14:paraId="65414142" w14:textId="77777777" w:rsidTr="007C590E">
        <w:trPr>
          <w:trHeight w:val="315"/>
        </w:trPr>
        <w:tc>
          <w:tcPr>
            <w:tcW w:w="1555" w:type="dxa"/>
            <w:shd w:val="clear" w:color="000000" w:fill="FFE699"/>
            <w:noWrap/>
            <w:vAlign w:val="center"/>
            <w:hideMark/>
          </w:tcPr>
          <w:p w14:paraId="3A2A2733"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446447</w:t>
            </w:r>
          </w:p>
        </w:tc>
        <w:tc>
          <w:tcPr>
            <w:tcW w:w="850" w:type="dxa"/>
            <w:shd w:val="clear" w:color="000000" w:fill="FFE699"/>
            <w:noWrap/>
            <w:vAlign w:val="center"/>
            <w:hideMark/>
          </w:tcPr>
          <w:p w14:paraId="7E2E991A"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FFE699"/>
            <w:noWrap/>
            <w:vAlign w:val="center"/>
            <w:hideMark/>
          </w:tcPr>
          <w:p w14:paraId="5CB488E2"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10994-0323</w:t>
            </w:r>
          </w:p>
        </w:tc>
        <w:tc>
          <w:tcPr>
            <w:tcW w:w="1134" w:type="dxa"/>
            <w:shd w:val="clear" w:color="000000" w:fill="FFE699"/>
            <w:noWrap/>
            <w:vAlign w:val="center"/>
            <w:hideMark/>
          </w:tcPr>
          <w:p w14:paraId="14F42B7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19/1/2005</w:t>
            </w:r>
          </w:p>
        </w:tc>
        <w:tc>
          <w:tcPr>
            <w:tcW w:w="1559" w:type="dxa"/>
            <w:shd w:val="clear" w:color="000000" w:fill="FFE699"/>
            <w:noWrap/>
            <w:vAlign w:val="center"/>
            <w:hideMark/>
          </w:tcPr>
          <w:p w14:paraId="7634DE4E"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r>
      <w:tr w:rsidR="005551D9" w:rsidRPr="00EC5664" w14:paraId="3EE0FC86" w14:textId="77777777" w:rsidTr="007C590E">
        <w:trPr>
          <w:trHeight w:val="315"/>
        </w:trPr>
        <w:tc>
          <w:tcPr>
            <w:tcW w:w="1555" w:type="dxa"/>
            <w:shd w:val="clear" w:color="000000" w:fill="BDD7EE"/>
            <w:noWrap/>
            <w:vAlign w:val="center"/>
            <w:hideMark/>
          </w:tcPr>
          <w:p w14:paraId="1371629C"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447028</w:t>
            </w:r>
          </w:p>
        </w:tc>
        <w:tc>
          <w:tcPr>
            <w:tcW w:w="850" w:type="dxa"/>
            <w:shd w:val="clear" w:color="000000" w:fill="BDD7EE"/>
            <w:noWrap/>
            <w:vAlign w:val="center"/>
            <w:hideMark/>
          </w:tcPr>
          <w:p w14:paraId="7FE0C825"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418" w:type="dxa"/>
            <w:shd w:val="clear" w:color="000000" w:fill="BDD7EE"/>
            <w:noWrap/>
            <w:vAlign w:val="center"/>
            <w:hideMark/>
          </w:tcPr>
          <w:p w14:paraId="6D6B2C99"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10995-0074</w:t>
            </w:r>
          </w:p>
        </w:tc>
        <w:tc>
          <w:tcPr>
            <w:tcW w:w="1134" w:type="dxa"/>
            <w:shd w:val="clear" w:color="000000" w:fill="BDD7EE"/>
            <w:noWrap/>
            <w:vAlign w:val="center"/>
            <w:hideMark/>
          </w:tcPr>
          <w:p w14:paraId="439ADED8"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9/2/2005</w:t>
            </w:r>
          </w:p>
        </w:tc>
        <w:tc>
          <w:tcPr>
            <w:tcW w:w="1559" w:type="dxa"/>
            <w:shd w:val="clear" w:color="000000" w:fill="BDD7EE"/>
            <w:noWrap/>
            <w:vAlign w:val="center"/>
            <w:hideMark/>
          </w:tcPr>
          <w:p w14:paraId="2763E8A6" w14:textId="77777777" w:rsidR="005551D9" w:rsidRPr="00EC5664" w:rsidRDefault="005551D9"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2.68</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1E151C" w14:paraId="5B17F31A" w14:textId="77777777" w:rsidTr="001E151C">
        <w:tc>
          <w:tcPr>
            <w:tcW w:w="9345" w:type="dxa"/>
          </w:tcPr>
          <w:p w14:paraId="5B515ADF" w14:textId="77777777" w:rsidR="001E151C" w:rsidRDefault="001E151C" w:rsidP="005551D9"/>
        </w:tc>
      </w:tr>
    </w:tbl>
    <w:p w14:paraId="41303DAC" w14:textId="7738C88D" w:rsidR="006F0D08" w:rsidRPr="007D1437" w:rsidRDefault="006F0D08" w:rsidP="006F0D08">
      <w:pPr>
        <w:pStyle w:val="Paragraph"/>
      </w:pPr>
      <w:r w:rsidRPr="00301C4F">
        <w:t xml:space="preserve">The British Geological Survey (BGS) carried out a high-resolution geochemical mapping programme of the United Kingdom (Johnson </w:t>
      </w:r>
      <w:r w:rsidR="00A26595" w:rsidRPr="00A26595">
        <w:rPr>
          <w:i/>
          <w:iCs/>
        </w:rPr>
        <w:t>et al.</w:t>
      </w:r>
      <w:r w:rsidRPr="00301C4F">
        <w:t xml:space="preserve">, 2005) that commenced in 1969 and was finally completed in 2013, a span of 44 years. Figure </w:t>
      </w:r>
      <w:r w:rsidR="006D2584" w:rsidRPr="00301C4F">
        <w:t>8.</w:t>
      </w:r>
      <w:r w:rsidRPr="00301C4F">
        <w:t>2</w:t>
      </w:r>
      <w:r w:rsidR="00B14E9E" w:rsidRPr="00301C4F">
        <w:t>a</w:t>
      </w:r>
      <w:r w:rsidRPr="00301C4F">
        <w:t xml:space="preserve"> shows a map of the ann</w:t>
      </w:r>
      <w:r w:rsidR="001D22E6" w:rsidRPr="00301C4F">
        <w:t xml:space="preserve">ual G-BASE field campaigns </w:t>
      </w:r>
      <w:r w:rsidR="00B92446" w:rsidRPr="00301C4F">
        <w:t xml:space="preserve">from </w:t>
      </w:r>
      <w:r w:rsidR="001D22E6" w:rsidRPr="00301C4F">
        <w:t>1969</w:t>
      </w:r>
      <w:r w:rsidR="00B92446" w:rsidRPr="00301C4F">
        <w:t xml:space="preserve"> to </w:t>
      </w:r>
      <w:r w:rsidRPr="00301C4F">
        <w:t xml:space="preserve">2013, each colour representing a different field campaign </w:t>
      </w:r>
      <w:r w:rsidR="001D22E6" w:rsidRPr="00301C4F">
        <w:t xml:space="preserve">year </w:t>
      </w:r>
      <w:r w:rsidRPr="00301C4F">
        <w:t xml:space="preserve">as the sampling progressed </w:t>
      </w:r>
      <w:r w:rsidR="00F0298D" w:rsidRPr="00301C4F">
        <w:t xml:space="preserve">generally </w:t>
      </w:r>
      <w:r w:rsidRPr="00301C4F">
        <w:t xml:space="preserve">from north to south during the summer months. </w:t>
      </w:r>
      <w:r w:rsidR="00F0298D" w:rsidRPr="00301C4F">
        <w:t>Within an annual field campaign</w:t>
      </w:r>
      <w:r w:rsidR="006D2584" w:rsidRPr="00301C4F">
        <w:t>,</w:t>
      </w:r>
      <w:r w:rsidR="00F0298D" w:rsidRPr="00301C4F">
        <w:t xml:space="preserve"> the 1000s of samples collected would have been analysed in more than </w:t>
      </w:r>
      <w:r w:rsidR="00F0298D" w:rsidRPr="00301C4F">
        <w:lastRenderedPageBreak/>
        <w:t xml:space="preserve">one analytical batch and these are not distinguished on the field campaign map. Figure </w:t>
      </w:r>
      <w:r w:rsidR="00B14E9E" w:rsidRPr="00301C4F">
        <w:t>8.</w:t>
      </w:r>
      <w:r w:rsidR="00F0298D" w:rsidRPr="00301C4F">
        <w:t>2</w:t>
      </w:r>
      <w:r w:rsidR="00B14E9E" w:rsidRPr="00301C4F">
        <w:t>a</w:t>
      </w:r>
      <w:r w:rsidRPr="00301C4F">
        <w:t xml:space="preserve"> shows how the sampling campaigns were </w:t>
      </w:r>
      <w:r w:rsidR="00F0298D" w:rsidRPr="00301C4F">
        <w:t xml:space="preserve">often </w:t>
      </w:r>
      <w:r w:rsidRPr="00301C4F">
        <w:t xml:space="preserve">carried out </w:t>
      </w:r>
      <w:r w:rsidR="00F0298D" w:rsidRPr="00301C4F">
        <w:t>constrained by</w:t>
      </w:r>
      <w:r w:rsidRPr="00301C4F">
        <w:t xml:space="preserve"> map sheet boundaries. Prior to the production of each map sheet geochemical atlas, data levelling was </w:t>
      </w:r>
      <w:r w:rsidR="00F629A7" w:rsidRPr="00301C4F">
        <w:t xml:space="preserve">undertaken </w:t>
      </w:r>
      <w:r w:rsidRPr="00301C4F">
        <w:t xml:space="preserve">to give seamless geochemical maps and </w:t>
      </w:r>
      <w:r w:rsidR="00B9284B">
        <w:t xml:space="preserve">to </w:t>
      </w:r>
      <w:r w:rsidRPr="00301C4F">
        <w:t>avoid the analytical bias relating to map</w:t>
      </w:r>
      <w:r w:rsidR="00EA37F2">
        <w:t>-</w:t>
      </w:r>
      <w:r w:rsidRPr="00301C4F">
        <w:t>sheet boundaries, as is seen in Fig</w:t>
      </w:r>
      <w:r w:rsidR="00F629A7" w:rsidRPr="00301C4F">
        <w:t xml:space="preserve">ure </w:t>
      </w:r>
      <w:r w:rsidR="00B14E9E" w:rsidRPr="00301C4F">
        <w:t>8.</w:t>
      </w:r>
      <w:r w:rsidRPr="00301C4F">
        <w:t xml:space="preserve">1. This was </w:t>
      </w:r>
      <w:r w:rsidR="00F629A7" w:rsidRPr="00301C4F">
        <w:t xml:space="preserve">achieved </w:t>
      </w:r>
      <w:r w:rsidRPr="00301C4F">
        <w:t>by studying the results from the SRMs submitted blind to the laboratories for each element in turn to identify any analytical bias introduced during a field campaign or analytical batch. The G-BASE analytical batch consisted of 500 samples</w:t>
      </w:r>
      <w:r w:rsidR="00301C4F" w:rsidRPr="00301C4F">
        <w:t>,</w:t>
      </w:r>
      <w:r w:rsidRPr="00301C4F">
        <w:t xml:space="preserve"> comprising five batches of one hundred samples submitted from the field (field batch) and including two SRMs per hundred samples (Johnson </w:t>
      </w:r>
      <w:r w:rsidR="00A26595" w:rsidRPr="00A26595">
        <w:rPr>
          <w:i/>
        </w:rPr>
        <w:t>et al.</w:t>
      </w:r>
      <w:r w:rsidRPr="00301C4F">
        <w:t xml:space="preserve">, 2018). The SRMs chosen for inclusion were selected to be of similar chemical composition to the samples being submitted and a number of different SRMs per laboratory batch </w:t>
      </w:r>
      <w:r w:rsidR="00B9284B">
        <w:t xml:space="preserve">were inserted </w:t>
      </w:r>
      <w:r w:rsidRPr="00301C4F">
        <w:t>to give a range of element concentrations to determine any analytical bias.</w:t>
      </w:r>
    </w:p>
    <w:p w14:paraId="72BACD11" w14:textId="66AA8A80" w:rsidR="006F0D08" w:rsidRPr="007D1437" w:rsidRDefault="006F0D08" w:rsidP="006F0D08">
      <w:pPr>
        <w:pStyle w:val="Paragraph"/>
      </w:pPr>
      <w:r w:rsidRPr="007D1437">
        <w:t xml:space="preserve">The data levelling was the last of the G-BASE data conditioning procedures (Lister and Johnson, 2005), performed </w:t>
      </w:r>
      <w:r w:rsidR="00636CC7">
        <w:t>before</w:t>
      </w:r>
      <w:r w:rsidRPr="007D1437">
        <w:t xml:space="preserve"> preparing the final atlas sheet data sets. The levelling proceeded as follows:</w:t>
      </w:r>
    </w:p>
    <w:p w14:paraId="035A005D" w14:textId="77777777" w:rsidR="006F0D08" w:rsidRDefault="006F0D08" w:rsidP="006F0D08">
      <w:pPr>
        <w:pStyle w:val="Paragraph"/>
      </w:pPr>
    </w:p>
    <w:p w14:paraId="2ECC9494" w14:textId="582D166A" w:rsidR="006F0D08" w:rsidRPr="006F0D08" w:rsidRDefault="006F0D08" w:rsidP="006F0D08">
      <w:pPr>
        <w:pStyle w:val="ListParagraph"/>
        <w:numPr>
          <w:ilvl w:val="0"/>
          <w:numId w:val="33"/>
        </w:numPr>
      </w:pPr>
      <w:r w:rsidRPr="006F0D08">
        <w:rPr>
          <w:b/>
          <w:bCs/>
        </w:rPr>
        <w:t>Gather the geochemical results for inspection</w:t>
      </w:r>
      <w:r w:rsidRPr="006F0D08">
        <w:t>. Analytical batches for all the samples of the map sheet to be levelled are downloaded from the laboratory results database. From this</w:t>
      </w:r>
      <w:r w:rsidR="00636CC7">
        <w:t>,</w:t>
      </w:r>
      <w:r w:rsidRPr="006F0D08">
        <w:t xml:space="preserve"> all the SRM results are extracted. The SRM samples</w:t>
      </w:r>
      <w:r w:rsidR="00B23E92">
        <w:t>,</w:t>
      </w:r>
      <w:r w:rsidRPr="006F0D08">
        <w:t xml:space="preserve"> when submitted for analysis</w:t>
      </w:r>
      <w:r w:rsidR="00B23E92">
        <w:t>,</w:t>
      </w:r>
      <w:r w:rsidRPr="006F0D08">
        <w:t xml:space="preserve"> were assigned normal sample numbers to be </w:t>
      </w:r>
      <w:r w:rsidR="00143C5F">
        <w:t xml:space="preserve">kept </w:t>
      </w:r>
      <w:r w:rsidRPr="006F0D08">
        <w:t xml:space="preserve">blind </w:t>
      </w:r>
      <w:r w:rsidR="00143C5F">
        <w:t>from</w:t>
      </w:r>
      <w:r w:rsidRPr="006F0D08">
        <w:t xml:space="preserve"> the analyst and, thus, the SRM identity has to be reassigned, a process helped when the analytical results are merged with the field database (which identifies control samples).</w:t>
      </w:r>
    </w:p>
    <w:p w14:paraId="796CAC5B" w14:textId="3BB7097F" w:rsidR="006F0D08" w:rsidRPr="009340A8" w:rsidRDefault="006F0D08" w:rsidP="006F0D08">
      <w:pPr>
        <w:pStyle w:val="ListParagraph"/>
        <w:numPr>
          <w:ilvl w:val="0"/>
          <w:numId w:val="33"/>
        </w:numPr>
      </w:pPr>
      <w:r w:rsidRPr="009340A8">
        <w:rPr>
          <w:b/>
          <w:bCs/>
        </w:rPr>
        <w:t>Plot time series charts</w:t>
      </w:r>
      <w:r w:rsidRPr="009340A8">
        <w:t>. Time series charts (Shewhart plots) like that shown in Fig</w:t>
      </w:r>
      <w:r w:rsidR="001763CF" w:rsidRPr="009340A8">
        <w:t>ure</w:t>
      </w:r>
      <w:r w:rsidRPr="009340A8">
        <w:t xml:space="preserve"> </w:t>
      </w:r>
      <w:r w:rsidR="00B92446" w:rsidRPr="009340A8">
        <w:t>8.</w:t>
      </w:r>
      <w:r w:rsidR="00B003E7" w:rsidRPr="009340A8">
        <w:t xml:space="preserve">5 </w:t>
      </w:r>
      <w:r w:rsidR="003D779E" w:rsidRPr="009340A8">
        <w:t xml:space="preserve">(Table </w:t>
      </w:r>
      <w:r w:rsidR="00751E18" w:rsidRPr="009340A8">
        <w:t>8.</w:t>
      </w:r>
      <w:r w:rsidR="0012526E" w:rsidRPr="009340A8">
        <w:t>2</w:t>
      </w:r>
      <w:r w:rsidR="003D779E" w:rsidRPr="009340A8">
        <w:t xml:space="preserve">) </w:t>
      </w:r>
      <w:r w:rsidRPr="009340A8">
        <w:t>are plotted for each SRM for every element determined. With more than forty elements and five SRMs</w:t>
      </w:r>
      <w:r w:rsidR="00D20E3F">
        <w:t>,</w:t>
      </w:r>
      <w:r w:rsidRPr="009340A8">
        <w:t xml:space="preserve"> this gives two hundred time series charts. So, this plotting needs to be automated with a systematic naming convention for the computer plot files generated. Such software was not available for much of G-BASE’s history and plots were done individually initially by hand and later in MS Excel.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2526E" w14:paraId="70ED2417" w14:textId="77777777" w:rsidTr="0012526E">
        <w:trPr>
          <w:jc w:val="center"/>
        </w:trPr>
        <w:tc>
          <w:tcPr>
            <w:tcW w:w="9355" w:type="dxa"/>
            <w:vAlign w:val="center"/>
          </w:tcPr>
          <w:p w14:paraId="4C082E83" w14:textId="77777777" w:rsidR="0012526E" w:rsidRDefault="0012526E" w:rsidP="0012526E"/>
        </w:tc>
      </w:tr>
      <w:tr w:rsidR="0012526E" w14:paraId="77AAF1B3" w14:textId="77777777" w:rsidTr="0012526E">
        <w:trPr>
          <w:jc w:val="center"/>
        </w:trPr>
        <w:tc>
          <w:tcPr>
            <w:tcW w:w="9355" w:type="dxa"/>
            <w:vAlign w:val="center"/>
          </w:tcPr>
          <w:p w14:paraId="548E71A7" w14:textId="33661A68" w:rsidR="0012526E" w:rsidRDefault="0012526E" w:rsidP="0012526E">
            <w:pPr>
              <w:jc w:val="center"/>
            </w:pPr>
            <w:r>
              <w:rPr>
                <w:noProof/>
              </w:rPr>
              <w:drawing>
                <wp:inline distT="0" distB="0" distL="0" distR="0" wp14:anchorId="6F0FDCD3" wp14:editId="466D0B46">
                  <wp:extent cx="5203251" cy="3059999"/>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cstate="print">
                            <a:extLst>
                              <a:ext uri="{28A0092B-C50C-407E-A947-70E740481C1C}">
                                <a14:useLocalDpi xmlns:a14="http://schemas.microsoft.com/office/drawing/2010/main"/>
                              </a:ext>
                            </a:extLst>
                          </a:blip>
                          <a:stretch>
                            <a:fillRect/>
                          </a:stretch>
                        </pic:blipFill>
                        <pic:spPr>
                          <a:xfrm>
                            <a:off x="0" y="0"/>
                            <a:ext cx="5203251" cy="3059999"/>
                          </a:xfrm>
                          <a:prstGeom prst="rect">
                            <a:avLst/>
                          </a:prstGeom>
                        </pic:spPr>
                      </pic:pic>
                    </a:graphicData>
                  </a:graphic>
                </wp:inline>
              </w:drawing>
            </w:r>
          </w:p>
        </w:tc>
      </w:tr>
    </w:tbl>
    <w:p w14:paraId="20993486" w14:textId="7D02ACFB" w:rsidR="0012526E" w:rsidRPr="0012526E" w:rsidRDefault="0012526E" w:rsidP="0012526E">
      <w:pPr>
        <w:pStyle w:val="Caption"/>
      </w:pPr>
      <w:r w:rsidRPr="0012526E">
        <w:t>Figure 8.5. A time series (Shewhart) plot showing the K</w:t>
      </w:r>
      <w:r w:rsidRPr="0012526E">
        <w:rPr>
          <w:vertAlign w:val="subscript"/>
        </w:rPr>
        <w:t>2</w:t>
      </w:r>
      <w:r w:rsidRPr="0012526E">
        <w:t xml:space="preserve">O% results (Y-axis) for secondary reference material S15B plotted against the date of analysis (refer to Table 8.2 for results). The blue dashed </w:t>
      </w:r>
      <w:r w:rsidR="00844694">
        <w:t xml:space="preserve">horizontal </w:t>
      </w:r>
      <w:r w:rsidRPr="0012526E">
        <w:t xml:space="preserve">line represents the accepted value for SRM S15B. These results were generated when the BGS XRF laboratory was undergoing major changes during the latter half of 2003. Analytical differences can be seen in three groups, namely, batches 10372 and 10377 and </w:t>
      </w:r>
      <w:r w:rsidR="00636CC7">
        <w:t xml:space="preserve">the </w:t>
      </w:r>
      <w:r w:rsidRPr="0012526E">
        <w:t xml:space="preserve">remaining batches. The chart indicates </w:t>
      </w:r>
      <w:r w:rsidR="00636CC7">
        <w:t xml:space="preserve">clearly </w:t>
      </w:r>
      <w:r w:rsidRPr="0012526E">
        <w:t xml:space="preserve">some analytical bias between batches during 2003. Plotted with Golden Software’s </w:t>
      </w:r>
      <w:proofErr w:type="spellStart"/>
      <w:r w:rsidRPr="0012526E">
        <w:t>Grapher</w:t>
      </w:r>
      <w:r w:rsidRPr="0012526E">
        <w:rPr>
          <w:vertAlign w:val="superscript"/>
        </w:rPr>
        <w:t>TM</w:t>
      </w:r>
      <w:proofErr w:type="spellEnd"/>
      <w:r w:rsidRPr="0012526E">
        <w:t xml:space="preserve"> v20.</w:t>
      </w:r>
    </w:p>
    <w:p w14:paraId="591D20E8" w14:textId="7EDBF054" w:rsidR="006F0D08" w:rsidRPr="006F0D08" w:rsidRDefault="006F0D08" w:rsidP="006F0D08">
      <w:pPr>
        <w:pStyle w:val="ListParagraph"/>
        <w:numPr>
          <w:ilvl w:val="0"/>
          <w:numId w:val="33"/>
        </w:numPr>
      </w:pPr>
      <w:r w:rsidRPr="006F0D08">
        <w:rPr>
          <w:b/>
          <w:bCs/>
        </w:rPr>
        <w:lastRenderedPageBreak/>
        <w:t>Look for significant changes in the time series charts</w:t>
      </w:r>
      <w:r w:rsidRPr="006F0D08">
        <w:t>. Each chart is inspected for significant changes from a horizontal trend and if deviations are seen in several or more elements and for the different SRMs, then there is clearly an analytical problem introducing analytical bias</w:t>
      </w:r>
      <w:r w:rsidRPr="009340A8">
        <w:t xml:space="preserve">. Figure </w:t>
      </w:r>
      <w:r w:rsidR="005E0367" w:rsidRPr="009340A8">
        <w:t>8.</w:t>
      </w:r>
      <w:r w:rsidR="00B003E7" w:rsidRPr="009340A8">
        <w:t>5</w:t>
      </w:r>
      <w:r w:rsidRPr="009340A8">
        <w:t xml:space="preserve"> shows an example of this </w:t>
      </w:r>
      <w:r w:rsidR="005E0367" w:rsidRPr="009340A8">
        <w:t>procedure. F</w:t>
      </w:r>
      <w:r w:rsidRPr="009340A8">
        <w:t>urther investigation revealed that in the second half of 2003 the XRF machine started to develop problems, which eventually led to the X-ray tube being replaced and the instrument being recalibrated. The laboratory batches affected are</w:t>
      </w:r>
      <w:r w:rsidRPr="006F0D08">
        <w:t xml:space="preserve"> identified and the SRMs from these batches are used to level the results.</w:t>
      </w:r>
    </w:p>
    <w:p w14:paraId="4D845C3E" w14:textId="6147D91C" w:rsidR="006F0D08" w:rsidRPr="002630D0" w:rsidRDefault="006F0D08" w:rsidP="006F0D08">
      <w:pPr>
        <w:pStyle w:val="ListParagraph"/>
        <w:numPr>
          <w:ilvl w:val="0"/>
          <w:numId w:val="33"/>
        </w:numPr>
      </w:pPr>
      <w:r w:rsidRPr="006F0D08">
        <w:rPr>
          <w:b/>
          <w:bCs/>
        </w:rPr>
        <w:t>Make X-Y plots for the SRMs for each element requiring levelling</w:t>
      </w:r>
      <w:r w:rsidRPr="006F0D08">
        <w:t xml:space="preserve">. For each affected laboratory batch X-Y plots are plotted and inspected with reference to </w:t>
      </w:r>
      <w:r w:rsidRPr="002630D0">
        <w:t>Fig</w:t>
      </w:r>
      <w:r w:rsidR="001C15F6" w:rsidRPr="002630D0">
        <w:t xml:space="preserve">ure </w:t>
      </w:r>
      <w:r w:rsidR="005E0367" w:rsidRPr="002630D0">
        <w:t>8.</w:t>
      </w:r>
      <w:r w:rsidR="00B003E7" w:rsidRPr="002630D0">
        <w:t>4</w:t>
      </w:r>
      <w:r w:rsidRPr="002630D0">
        <w:t xml:space="preserve"> to assess the nature of the levelling required or if indeed levelling can be done. In the worked example given here, three groups of affected samples are identified, namely, batch 10372, batch 10377 and batches from after 26/12/2003 (Fig</w:t>
      </w:r>
      <w:r w:rsidR="00377912" w:rsidRPr="002630D0">
        <w:t>.</w:t>
      </w:r>
      <w:r w:rsidRPr="002630D0">
        <w:t xml:space="preserve"> </w:t>
      </w:r>
      <w:r w:rsidR="00377912" w:rsidRPr="002630D0">
        <w:t>8.</w:t>
      </w:r>
      <w:r w:rsidR="00B003E7" w:rsidRPr="002630D0">
        <w:t>5</w:t>
      </w:r>
      <w:r w:rsidRPr="002630D0">
        <w:t>). X-Y plots for the three groups</w:t>
      </w:r>
      <w:r w:rsidR="005175D9" w:rsidRPr="002630D0">
        <w:t>,</w:t>
      </w:r>
      <w:r w:rsidRPr="002630D0">
        <w:t xml:space="preserve"> </w:t>
      </w:r>
      <w:r w:rsidR="005175D9" w:rsidRPr="002630D0">
        <w:t>tabulated in Table 8.</w:t>
      </w:r>
      <w:r w:rsidR="00506D5D" w:rsidRPr="002630D0">
        <w:t>3</w:t>
      </w:r>
      <w:r w:rsidR="005175D9" w:rsidRPr="002630D0">
        <w:t xml:space="preserve">, </w:t>
      </w:r>
      <w:r w:rsidRPr="002630D0">
        <w:t xml:space="preserve">are given in Figures </w:t>
      </w:r>
      <w:r w:rsidR="00377912" w:rsidRPr="002630D0">
        <w:t>8.</w:t>
      </w:r>
      <w:r w:rsidR="00B003E7" w:rsidRPr="002630D0">
        <w:t>6</w:t>
      </w:r>
      <w:r w:rsidR="00377912" w:rsidRPr="002630D0">
        <w:t xml:space="preserve"> to 8.</w:t>
      </w:r>
      <w:r w:rsidR="00B003E7" w:rsidRPr="002630D0">
        <w:t>8</w:t>
      </w:r>
      <w:r w:rsidRPr="002630D0">
        <w:t xml:space="preserve"> (prepared </w:t>
      </w:r>
      <w:r w:rsidR="00377912" w:rsidRPr="002630D0">
        <w:t xml:space="preserve">initially by </w:t>
      </w:r>
      <w:r w:rsidRPr="002630D0">
        <w:t xml:space="preserve">using </w:t>
      </w:r>
      <w:r w:rsidR="003A5B23">
        <w:t xml:space="preserve">the </w:t>
      </w:r>
      <w:r w:rsidRPr="002630D0">
        <w:t>MS Excel scatterplot graph option with inserted trend line and equation</w:t>
      </w:r>
      <w:r w:rsidR="00377912" w:rsidRPr="002630D0">
        <w:t xml:space="preserve">; </w:t>
      </w:r>
      <w:r w:rsidR="00AD538D" w:rsidRPr="002630D0">
        <w:t>the charts were subsequently plotted with Golden Software’s Grapher v20 for this Manual</w:t>
      </w:r>
      <w:r w:rsidRPr="002630D0">
        <w:t>). All three plots show a very close fit of the data to the regression line</w:t>
      </w:r>
      <w:r w:rsidR="00F1375B" w:rsidRPr="002630D0">
        <w:t>. The coefficient of determination</w:t>
      </w:r>
      <w:r w:rsidRPr="002630D0">
        <w:t>, R</w:t>
      </w:r>
      <w:r w:rsidRPr="002630D0">
        <w:rPr>
          <w:vertAlign w:val="superscript"/>
        </w:rPr>
        <w:t>2</w:t>
      </w:r>
      <w:r w:rsidR="00F1375B" w:rsidRPr="002630D0">
        <w:t xml:space="preserve">, </w:t>
      </w:r>
      <w:r w:rsidR="003A5B23">
        <w:t>is</w:t>
      </w:r>
      <w:r w:rsidRPr="002630D0">
        <w:t xml:space="preserve"> very close to 1.0. The closeness to the </w:t>
      </w:r>
      <w:r w:rsidR="00F1375B" w:rsidRPr="002630D0">
        <w:t>45</w:t>
      </w:r>
      <w:r w:rsidR="003A5B23">
        <w:t>-</w:t>
      </w:r>
      <w:r w:rsidR="00F1375B" w:rsidRPr="002630D0">
        <w:t xml:space="preserve">degree (1:1) </w:t>
      </w:r>
      <w:r w:rsidRPr="002630D0">
        <w:t>reference line on the X-Y plots shows the levelling to the results will be small but is subtly different for the different batches.</w:t>
      </w:r>
    </w:p>
    <w:p w14:paraId="0D116E54" w14:textId="39810874" w:rsidR="00865D4B" w:rsidRPr="00865D4B" w:rsidRDefault="00865D4B" w:rsidP="00865D4B">
      <w:pPr>
        <w:pStyle w:val="Tablecaptions"/>
      </w:pPr>
      <w:r w:rsidRPr="00865D4B">
        <w:t xml:space="preserve">Table 8.3. Results for different SRMs </w:t>
      </w:r>
      <w:r w:rsidR="003A5B23">
        <w:t xml:space="preserve">were </w:t>
      </w:r>
      <w:r w:rsidRPr="00865D4B">
        <w:t xml:space="preserve">extracted from analytical batches </w:t>
      </w:r>
      <w:r w:rsidR="003A5B23">
        <w:t>before</w:t>
      </w:r>
      <w:r w:rsidRPr="00865D4B">
        <w:t xml:space="preserve"> the commencement of levelling of the central and eastern England map sheets. The table below represent</w:t>
      </w:r>
      <w:r w:rsidR="008B3D9C">
        <w:t>s</w:t>
      </w:r>
      <w:r w:rsidRPr="00865D4B">
        <w:t xml:space="preserve"> the batches identified on the Shewhart charts of Figure 8.6: </w:t>
      </w:r>
      <w:r w:rsidRPr="005824FB">
        <w:rPr>
          <w:b/>
          <w:bCs/>
        </w:rPr>
        <w:t>(a)</w:t>
      </w:r>
      <w:r w:rsidRPr="00865D4B">
        <w:t xml:space="preserve"> Laboratory Batch 10372 (Fig. 8.6)</w:t>
      </w:r>
      <w:r w:rsidR="005824FB">
        <w:t>.</w:t>
      </w:r>
      <w:r w:rsidRPr="00865D4B">
        <w:t xml:space="preserve"> </w:t>
      </w:r>
      <w:r w:rsidRPr="005824FB">
        <w:rPr>
          <w:b/>
          <w:bCs/>
        </w:rPr>
        <w:t>(b)</w:t>
      </w:r>
      <w:r w:rsidRPr="00865D4B">
        <w:t xml:space="preserve"> Laboratory Batch 10377(Fig. 8.7)</w:t>
      </w:r>
      <w:r w:rsidR="005824FB">
        <w:t>.</w:t>
      </w:r>
      <w:r w:rsidRPr="00865D4B">
        <w:t xml:space="preserve"> </w:t>
      </w:r>
      <w:r w:rsidRPr="005824FB">
        <w:rPr>
          <w:b/>
          <w:bCs/>
        </w:rPr>
        <w:t>(c)</w:t>
      </w:r>
      <w:r w:rsidRPr="00865D4B">
        <w:t xml:space="preserve"> Laboratory batches after 26/12/2003 (Fig. 8.8), all charts plotted against </w:t>
      </w:r>
      <w:r w:rsidRPr="0031121A">
        <w:rPr>
          <w:b/>
          <w:bCs/>
        </w:rPr>
        <w:t>(d)</w:t>
      </w:r>
      <w:r w:rsidRPr="00865D4B">
        <w:t xml:space="preserve"> </w:t>
      </w:r>
      <w:r w:rsidR="005824FB">
        <w:t>T</w:t>
      </w:r>
      <w:r w:rsidRPr="00865D4B">
        <w:t>he Accepted SRM value.</w:t>
      </w:r>
    </w:p>
    <w:tbl>
      <w:tblPr>
        <w:tblW w:w="7513" w:type="dxa"/>
        <w:jc w:val="center"/>
        <w:tblLook w:val="04A0" w:firstRow="1" w:lastRow="0" w:firstColumn="1" w:lastColumn="0" w:noHBand="0" w:noVBand="1"/>
      </w:tblPr>
      <w:tblGrid>
        <w:gridCol w:w="1048"/>
        <w:gridCol w:w="1646"/>
        <w:gridCol w:w="1701"/>
        <w:gridCol w:w="1701"/>
        <w:gridCol w:w="1417"/>
      </w:tblGrid>
      <w:tr w:rsidR="00865D4B" w:rsidRPr="000B79E8" w14:paraId="677E6B0A" w14:textId="77777777" w:rsidTr="008B3D9C">
        <w:trPr>
          <w:trHeight w:val="720"/>
          <w:jc w:val="center"/>
        </w:trPr>
        <w:tc>
          <w:tcPr>
            <w:tcW w:w="1048" w:type="dxa"/>
            <w:vMerge w:val="restart"/>
            <w:tcBorders>
              <w:top w:val="single" w:sz="4" w:space="0" w:color="auto"/>
              <w:left w:val="single" w:sz="4" w:space="0" w:color="auto"/>
              <w:right w:val="single" w:sz="4" w:space="0" w:color="auto"/>
            </w:tcBorders>
            <w:shd w:val="clear" w:color="000000" w:fill="D9D9D9" w:themeFill="background1" w:themeFillShade="D9"/>
            <w:hideMark/>
          </w:tcPr>
          <w:p w14:paraId="684324BC"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SRM ID</w:t>
            </w:r>
          </w:p>
        </w:tc>
        <w:tc>
          <w:tcPr>
            <w:tcW w:w="1646" w:type="dxa"/>
            <w:tcBorders>
              <w:top w:val="single" w:sz="4" w:space="0" w:color="auto"/>
              <w:left w:val="nil"/>
              <w:bottom w:val="single" w:sz="4" w:space="0" w:color="auto"/>
              <w:right w:val="single" w:sz="4" w:space="0" w:color="auto"/>
            </w:tcBorders>
            <w:shd w:val="clear" w:color="000000" w:fill="D9D9D9" w:themeFill="background1" w:themeFillShade="D9"/>
            <w:noWrap/>
            <w:hideMark/>
          </w:tcPr>
          <w:p w14:paraId="72E5351B"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(a) Batch 10372</w:t>
            </w:r>
          </w:p>
        </w:tc>
        <w:tc>
          <w:tcPr>
            <w:tcW w:w="1701" w:type="dxa"/>
            <w:tcBorders>
              <w:top w:val="single" w:sz="4" w:space="0" w:color="auto"/>
              <w:left w:val="nil"/>
              <w:bottom w:val="single" w:sz="4" w:space="0" w:color="auto"/>
              <w:right w:val="single" w:sz="4" w:space="0" w:color="auto"/>
            </w:tcBorders>
            <w:shd w:val="clear" w:color="000000" w:fill="D9D9D9" w:themeFill="background1" w:themeFillShade="D9"/>
            <w:noWrap/>
            <w:hideMark/>
          </w:tcPr>
          <w:p w14:paraId="5E3353D4"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(b) Batch 10377</w:t>
            </w:r>
          </w:p>
        </w:tc>
        <w:tc>
          <w:tcPr>
            <w:tcW w:w="1701" w:type="dxa"/>
            <w:tcBorders>
              <w:top w:val="single" w:sz="4" w:space="0" w:color="auto"/>
              <w:left w:val="nil"/>
              <w:bottom w:val="single" w:sz="4" w:space="0" w:color="auto"/>
              <w:right w:val="single" w:sz="4" w:space="0" w:color="auto"/>
            </w:tcBorders>
            <w:shd w:val="clear" w:color="000000" w:fill="D9D9D9" w:themeFill="background1" w:themeFillShade="D9"/>
            <w:hideMark/>
          </w:tcPr>
          <w:p w14:paraId="7223D224"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(c) Batches after 26/12/2003</w:t>
            </w:r>
          </w:p>
        </w:tc>
        <w:tc>
          <w:tcPr>
            <w:tcW w:w="1417" w:type="dxa"/>
            <w:tcBorders>
              <w:top w:val="single" w:sz="4" w:space="0" w:color="auto"/>
              <w:left w:val="nil"/>
              <w:bottom w:val="single" w:sz="4" w:space="0" w:color="auto"/>
              <w:right w:val="single" w:sz="4" w:space="0" w:color="auto"/>
            </w:tcBorders>
            <w:shd w:val="clear" w:color="000000" w:fill="D9D9D9" w:themeFill="background1" w:themeFillShade="D9"/>
            <w:noWrap/>
            <w:hideMark/>
          </w:tcPr>
          <w:p w14:paraId="63419F05"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(d) Accepted SRM value</w:t>
            </w:r>
          </w:p>
        </w:tc>
      </w:tr>
      <w:tr w:rsidR="00865D4B" w:rsidRPr="000B79E8" w14:paraId="1769F293" w14:textId="77777777" w:rsidTr="008B3D9C">
        <w:trPr>
          <w:trHeight w:val="360"/>
          <w:jc w:val="center"/>
        </w:trPr>
        <w:tc>
          <w:tcPr>
            <w:tcW w:w="1048" w:type="dxa"/>
            <w:vMerge/>
            <w:tcBorders>
              <w:left w:val="single" w:sz="4" w:space="0" w:color="auto"/>
              <w:bottom w:val="single" w:sz="4" w:space="0" w:color="000000"/>
              <w:right w:val="single" w:sz="4" w:space="0" w:color="auto"/>
            </w:tcBorders>
            <w:shd w:val="clear" w:color="000000" w:fill="D9D9D9" w:themeFill="background1" w:themeFillShade="D9"/>
            <w:vAlign w:val="center"/>
            <w:hideMark/>
          </w:tcPr>
          <w:p w14:paraId="77DD51DF" w14:textId="77777777" w:rsidR="00865D4B" w:rsidRPr="008B3D9C" w:rsidRDefault="00865D4B" w:rsidP="007C590E">
            <w:pPr>
              <w:rPr>
                <w:rFonts w:eastAsia="Times New Roman" w:cs="Times New Roman"/>
                <w:b/>
                <w:bCs/>
                <w:i/>
                <w:iCs/>
                <w:color w:val="000000"/>
                <w:sz w:val="20"/>
                <w:szCs w:val="20"/>
                <w:lang w:eastAsia="en-GB"/>
              </w:rPr>
            </w:pPr>
          </w:p>
        </w:tc>
        <w:tc>
          <w:tcPr>
            <w:tcW w:w="5048" w:type="dxa"/>
            <w:gridSpan w:val="3"/>
            <w:tcBorders>
              <w:top w:val="nil"/>
              <w:left w:val="nil"/>
              <w:bottom w:val="single" w:sz="4" w:space="0" w:color="auto"/>
              <w:right w:val="single" w:sz="4" w:space="0" w:color="auto"/>
            </w:tcBorders>
            <w:shd w:val="clear" w:color="000000" w:fill="D9D9D9" w:themeFill="background1" w:themeFillShade="D9"/>
            <w:noWrap/>
            <w:vAlign w:val="center"/>
          </w:tcPr>
          <w:p w14:paraId="009ABFCB"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X-axis K</w:t>
            </w:r>
            <w:r w:rsidRPr="008B3D9C">
              <w:rPr>
                <w:rFonts w:eastAsia="Times New Roman" w:cs="Times New Roman"/>
                <w:b/>
                <w:bCs/>
                <w:i/>
                <w:iCs/>
                <w:color w:val="000000"/>
                <w:sz w:val="20"/>
                <w:szCs w:val="20"/>
                <w:vertAlign w:val="subscript"/>
                <w:lang w:eastAsia="en-GB"/>
              </w:rPr>
              <w:t>2</w:t>
            </w:r>
            <w:r w:rsidRPr="008B3D9C">
              <w:rPr>
                <w:rFonts w:eastAsia="Times New Roman" w:cs="Times New Roman"/>
                <w:b/>
                <w:bCs/>
                <w:i/>
                <w:iCs/>
                <w:color w:val="000000"/>
                <w:sz w:val="20"/>
                <w:szCs w:val="20"/>
                <w:lang w:eastAsia="en-GB"/>
              </w:rPr>
              <w:t>O % values in different batches</w:t>
            </w:r>
          </w:p>
        </w:tc>
        <w:tc>
          <w:tcPr>
            <w:tcW w:w="1417" w:type="dxa"/>
            <w:tcBorders>
              <w:top w:val="nil"/>
              <w:left w:val="nil"/>
              <w:bottom w:val="single" w:sz="4" w:space="0" w:color="auto"/>
              <w:right w:val="single" w:sz="4" w:space="0" w:color="auto"/>
            </w:tcBorders>
            <w:shd w:val="clear" w:color="000000" w:fill="D9D9D9" w:themeFill="background1" w:themeFillShade="D9"/>
            <w:noWrap/>
            <w:vAlign w:val="center"/>
            <w:hideMark/>
          </w:tcPr>
          <w:p w14:paraId="4BBC71E3" w14:textId="77777777" w:rsidR="00865D4B" w:rsidRPr="008B3D9C" w:rsidRDefault="00865D4B" w:rsidP="007C590E">
            <w:pPr>
              <w:jc w:val="center"/>
              <w:rPr>
                <w:rFonts w:eastAsia="Times New Roman" w:cs="Times New Roman"/>
                <w:b/>
                <w:bCs/>
                <w:i/>
                <w:iCs/>
                <w:color w:val="000000"/>
                <w:sz w:val="20"/>
                <w:szCs w:val="20"/>
                <w:lang w:eastAsia="en-GB"/>
              </w:rPr>
            </w:pPr>
            <w:r w:rsidRPr="008B3D9C">
              <w:rPr>
                <w:rFonts w:eastAsia="Times New Roman" w:cs="Times New Roman"/>
                <w:b/>
                <w:bCs/>
                <w:i/>
                <w:iCs/>
                <w:color w:val="000000"/>
                <w:sz w:val="20"/>
                <w:szCs w:val="20"/>
                <w:lang w:eastAsia="en-GB"/>
              </w:rPr>
              <w:t>Y-axis values</w:t>
            </w:r>
          </w:p>
        </w:tc>
      </w:tr>
      <w:tr w:rsidR="00865D4B" w:rsidRPr="000B79E8" w14:paraId="53DB2E88" w14:textId="77777777" w:rsidTr="008B3D9C">
        <w:trPr>
          <w:trHeight w:val="360"/>
          <w:jc w:val="center"/>
        </w:trPr>
        <w:tc>
          <w:tcPr>
            <w:tcW w:w="1048" w:type="dxa"/>
            <w:tcBorders>
              <w:top w:val="nil"/>
              <w:left w:val="single" w:sz="4" w:space="0" w:color="auto"/>
              <w:bottom w:val="single" w:sz="4" w:space="0" w:color="auto"/>
              <w:right w:val="single" w:sz="4" w:space="0" w:color="auto"/>
            </w:tcBorders>
            <w:shd w:val="clear" w:color="auto" w:fill="auto"/>
            <w:noWrap/>
            <w:vAlign w:val="center"/>
            <w:hideMark/>
          </w:tcPr>
          <w:p w14:paraId="568BBFED"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S13</w:t>
            </w:r>
          </w:p>
        </w:tc>
        <w:tc>
          <w:tcPr>
            <w:tcW w:w="1646" w:type="dxa"/>
            <w:tcBorders>
              <w:top w:val="nil"/>
              <w:left w:val="nil"/>
              <w:bottom w:val="single" w:sz="4" w:space="0" w:color="auto"/>
              <w:right w:val="single" w:sz="4" w:space="0" w:color="auto"/>
            </w:tcBorders>
            <w:shd w:val="clear" w:color="auto" w:fill="auto"/>
            <w:noWrap/>
            <w:vAlign w:val="center"/>
            <w:hideMark/>
          </w:tcPr>
          <w:p w14:paraId="4A4ECEB9"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w:t>
            </w:r>
          </w:p>
        </w:tc>
        <w:tc>
          <w:tcPr>
            <w:tcW w:w="1701" w:type="dxa"/>
            <w:tcBorders>
              <w:top w:val="nil"/>
              <w:left w:val="nil"/>
              <w:bottom w:val="single" w:sz="4" w:space="0" w:color="auto"/>
              <w:right w:val="single" w:sz="4" w:space="0" w:color="auto"/>
            </w:tcBorders>
            <w:shd w:val="clear" w:color="auto" w:fill="auto"/>
            <w:noWrap/>
            <w:vAlign w:val="center"/>
            <w:hideMark/>
          </w:tcPr>
          <w:p w14:paraId="4C5D7110"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2.078</w:t>
            </w:r>
          </w:p>
        </w:tc>
        <w:tc>
          <w:tcPr>
            <w:tcW w:w="1701" w:type="dxa"/>
            <w:tcBorders>
              <w:top w:val="nil"/>
              <w:left w:val="nil"/>
              <w:bottom w:val="single" w:sz="4" w:space="0" w:color="auto"/>
              <w:right w:val="single" w:sz="4" w:space="0" w:color="auto"/>
            </w:tcBorders>
            <w:shd w:val="clear" w:color="auto" w:fill="auto"/>
            <w:noWrap/>
            <w:vAlign w:val="center"/>
            <w:hideMark/>
          </w:tcPr>
          <w:p w14:paraId="37C75532"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2.006</w:t>
            </w:r>
          </w:p>
        </w:tc>
        <w:tc>
          <w:tcPr>
            <w:tcW w:w="1417" w:type="dxa"/>
            <w:tcBorders>
              <w:top w:val="nil"/>
              <w:left w:val="nil"/>
              <w:bottom w:val="single" w:sz="4" w:space="0" w:color="auto"/>
              <w:right w:val="single" w:sz="4" w:space="0" w:color="auto"/>
            </w:tcBorders>
            <w:shd w:val="clear" w:color="auto" w:fill="auto"/>
            <w:noWrap/>
            <w:vAlign w:val="center"/>
            <w:hideMark/>
          </w:tcPr>
          <w:p w14:paraId="751C2598"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2.170</w:t>
            </w:r>
          </w:p>
        </w:tc>
      </w:tr>
      <w:tr w:rsidR="00865D4B" w:rsidRPr="000B79E8" w14:paraId="2BE27950" w14:textId="77777777" w:rsidTr="008B3D9C">
        <w:trPr>
          <w:trHeight w:val="360"/>
          <w:jc w:val="center"/>
        </w:trPr>
        <w:tc>
          <w:tcPr>
            <w:tcW w:w="1048" w:type="dxa"/>
            <w:tcBorders>
              <w:top w:val="nil"/>
              <w:left w:val="single" w:sz="4" w:space="0" w:color="auto"/>
              <w:bottom w:val="single" w:sz="4" w:space="0" w:color="auto"/>
              <w:right w:val="single" w:sz="4" w:space="0" w:color="auto"/>
            </w:tcBorders>
            <w:shd w:val="clear" w:color="auto" w:fill="auto"/>
            <w:noWrap/>
            <w:vAlign w:val="center"/>
            <w:hideMark/>
          </w:tcPr>
          <w:p w14:paraId="1A94EA0E"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S13B</w:t>
            </w:r>
          </w:p>
        </w:tc>
        <w:tc>
          <w:tcPr>
            <w:tcW w:w="1646" w:type="dxa"/>
            <w:tcBorders>
              <w:top w:val="nil"/>
              <w:left w:val="nil"/>
              <w:bottom w:val="single" w:sz="4" w:space="0" w:color="auto"/>
              <w:right w:val="single" w:sz="4" w:space="0" w:color="auto"/>
            </w:tcBorders>
            <w:shd w:val="clear" w:color="auto" w:fill="auto"/>
            <w:noWrap/>
            <w:vAlign w:val="center"/>
            <w:hideMark/>
          </w:tcPr>
          <w:p w14:paraId="5DE3DBF9"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2.324</w:t>
            </w:r>
          </w:p>
        </w:tc>
        <w:tc>
          <w:tcPr>
            <w:tcW w:w="1701" w:type="dxa"/>
            <w:tcBorders>
              <w:top w:val="nil"/>
              <w:left w:val="nil"/>
              <w:bottom w:val="single" w:sz="4" w:space="0" w:color="auto"/>
              <w:right w:val="single" w:sz="4" w:space="0" w:color="auto"/>
            </w:tcBorders>
            <w:shd w:val="clear" w:color="auto" w:fill="auto"/>
            <w:noWrap/>
            <w:vAlign w:val="center"/>
            <w:hideMark/>
          </w:tcPr>
          <w:p w14:paraId="097AC4D7"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2.283</w:t>
            </w:r>
          </w:p>
        </w:tc>
        <w:tc>
          <w:tcPr>
            <w:tcW w:w="1701" w:type="dxa"/>
            <w:tcBorders>
              <w:top w:val="nil"/>
              <w:left w:val="nil"/>
              <w:bottom w:val="single" w:sz="4" w:space="0" w:color="auto"/>
              <w:right w:val="single" w:sz="4" w:space="0" w:color="auto"/>
            </w:tcBorders>
            <w:shd w:val="clear" w:color="auto" w:fill="auto"/>
            <w:noWrap/>
            <w:vAlign w:val="center"/>
            <w:hideMark/>
          </w:tcPr>
          <w:p w14:paraId="45DE165D"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2.227</w:t>
            </w:r>
          </w:p>
        </w:tc>
        <w:tc>
          <w:tcPr>
            <w:tcW w:w="1417" w:type="dxa"/>
            <w:tcBorders>
              <w:top w:val="nil"/>
              <w:left w:val="nil"/>
              <w:bottom w:val="single" w:sz="4" w:space="0" w:color="auto"/>
              <w:right w:val="single" w:sz="4" w:space="0" w:color="auto"/>
            </w:tcBorders>
            <w:shd w:val="clear" w:color="auto" w:fill="auto"/>
            <w:noWrap/>
            <w:vAlign w:val="center"/>
            <w:hideMark/>
          </w:tcPr>
          <w:p w14:paraId="740CD8B4"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2.290</w:t>
            </w:r>
          </w:p>
        </w:tc>
      </w:tr>
      <w:tr w:rsidR="00865D4B" w:rsidRPr="000B79E8" w14:paraId="2B5975D0" w14:textId="77777777" w:rsidTr="008B3D9C">
        <w:trPr>
          <w:trHeight w:val="360"/>
          <w:jc w:val="center"/>
        </w:trPr>
        <w:tc>
          <w:tcPr>
            <w:tcW w:w="1048" w:type="dxa"/>
            <w:tcBorders>
              <w:top w:val="nil"/>
              <w:left w:val="single" w:sz="4" w:space="0" w:color="auto"/>
              <w:bottom w:val="single" w:sz="4" w:space="0" w:color="auto"/>
              <w:right w:val="single" w:sz="4" w:space="0" w:color="auto"/>
            </w:tcBorders>
            <w:shd w:val="clear" w:color="auto" w:fill="auto"/>
            <w:noWrap/>
            <w:vAlign w:val="center"/>
            <w:hideMark/>
          </w:tcPr>
          <w:p w14:paraId="2A54B8B9"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S15B</w:t>
            </w:r>
          </w:p>
        </w:tc>
        <w:tc>
          <w:tcPr>
            <w:tcW w:w="1646" w:type="dxa"/>
            <w:tcBorders>
              <w:top w:val="nil"/>
              <w:left w:val="nil"/>
              <w:bottom w:val="single" w:sz="4" w:space="0" w:color="auto"/>
              <w:right w:val="single" w:sz="4" w:space="0" w:color="auto"/>
            </w:tcBorders>
            <w:shd w:val="clear" w:color="auto" w:fill="auto"/>
            <w:noWrap/>
            <w:vAlign w:val="center"/>
            <w:hideMark/>
          </w:tcPr>
          <w:p w14:paraId="0F3F4FB3"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3.030</w:t>
            </w:r>
          </w:p>
        </w:tc>
        <w:tc>
          <w:tcPr>
            <w:tcW w:w="1701" w:type="dxa"/>
            <w:tcBorders>
              <w:top w:val="nil"/>
              <w:left w:val="nil"/>
              <w:bottom w:val="single" w:sz="4" w:space="0" w:color="auto"/>
              <w:right w:val="single" w:sz="4" w:space="0" w:color="auto"/>
            </w:tcBorders>
            <w:shd w:val="clear" w:color="auto" w:fill="auto"/>
            <w:noWrap/>
            <w:vAlign w:val="center"/>
            <w:hideMark/>
          </w:tcPr>
          <w:p w14:paraId="0AE14C3D"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2.843</w:t>
            </w:r>
          </w:p>
        </w:tc>
        <w:tc>
          <w:tcPr>
            <w:tcW w:w="1701" w:type="dxa"/>
            <w:tcBorders>
              <w:top w:val="nil"/>
              <w:left w:val="nil"/>
              <w:bottom w:val="single" w:sz="4" w:space="0" w:color="auto"/>
              <w:right w:val="single" w:sz="4" w:space="0" w:color="auto"/>
            </w:tcBorders>
            <w:shd w:val="clear" w:color="auto" w:fill="auto"/>
            <w:noWrap/>
            <w:vAlign w:val="center"/>
            <w:hideMark/>
          </w:tcPr>
          <w:p w14:paraId="00367B35"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2.752</w:t>
            </w:r>
          </w:p>
        </w:tc>
        <w:tc>
          <w:tcPr>
            <w:tcW w:w="1417" w:type="dxa"/>
            <w:tcBorders>
              <w:top w:val="nil"/>
              <w:left w:val="nil"/>
              <w:bottom w:val="single" w:sz="4" w:space="0" w:color="auto"/>
              <w:right w:val="single" w:sz="4" w:space="0" w:color="auto"/>
            </w:tcBorders>
            <w:shd w:val="clear" w:color="auto" w:fill="auto"/>
            <w:noWrap/>
            <w:vAlign w:val="center"/>
            <w:hideMark/>
          </w:tcPr>
          <w:p w14:paraId="452158D3"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2.940</w:t>
            </w:r>
          </w:p>
        </w:tc>
      </w:tr>
      <w:tr w:rsidR="00865D4B" w:rsidRPr="000B79E8" w14:paraId="5BDEDDA0" w14:textId="77777777" w:rsidTr="008B3D9C">
        <w:trPr>
          <w:trHeight w:val="360"/>
          <w:jc w:val="center"/>
        </w:trPr>
        <w:tc>
          <w:tcPr>
            <w:tcW w:w="1048" w:type="dxa"/>
            <w:tcBorders>
              <w:top w:val="nil"/>
              <w:left w:val="single" w:sz="4" w:space="0" w:color="auto"/>
              <w:bottom w:val="single" w:sz="4" w:space="0" w:color="auto"/>
              <w:right w:val="single" w:sz="4" w:space="0" w:color="auto"/>
            </w:tcBorders>
            <w:shd w:val="clear" w:color="auto" w:fill="auto"/>
            <w:noWrap/>
            <w:vAlign w:val="center"/>
            <w:hideMark/>
          </w:tcPr>
          <w:p w14:paraId="220988A7"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S23B</w:t>
            </w:r>
          </w:p>
        </w:tc>
        <w:tc>
          <w:tcPr>
            <w:tcW w:w="1646" w:type="dxa"/>
            <w:tcBorders>
              <w:top w:val="nil"/>
              <w:left w:val="nil"/>
              <w:bottom w:val="single" w:sz="4" w:space="0" w:color="auto"/>
              <w:right w:val="single" w:sz="4" w:space="0" w:color="auto"/>
            </w:tcBorders>
            <w:shd w:val="clear" w:color="auto" w:fill="auto"/>
            <w:noWrap/>
            <w:vAlign w:val="center"/>
            <w:hideMark/>
          </w:tcPr>
          <w:p w14:paraId="62CC2B35"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3.790</w:t>
            </w:r>
          </w:p>
        </w:tc>
        <w:tc>
          <w:tcPr>
            <w:tcW w:w="1701" w:type="dxa"/>
            <w:tcBorders>
              <w:top w:val="nil"/>
              <w:left w:val="nil"/>
              <w:bottom w:val="single" w:sz="4" w:space="0" w:color="auto"/>
              <w:right w:val="single" w:sz="4" w:space="0" w:color="auto"/>
            </w:tcBorders>
            <w:shd w:val="clear" w:color="auto" w:fill="auto"/>
            <w:noWrap/>
            <w:vAlign w:val="center"/>
            <w:hideMark/>
          </w:tcPr>
          <w:p w14:paraId="4DA28777"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3.790</w:t>
            </w:r>
          </w:p>
        </w:tc>
        <w:tc>
          <w:tcPr>
            <w:tcW w:w="1701" w:type="dxa"/>
            <w:tcBorders>
              <w:top w:val="nil"/>
              <w:left w:val="nil"/>
              <w:bottom w:val="single" w:sz="4" w:space="0" w:color="auto"/>
              <w:right w:val="single" w:sz="4" w:space="0" w:color="auto"/>
            </w:tcBorders>
            <w:shd w:val="clear" w:color="auto" w:fill="auto"/>
            <w:noWrap/>
            <w:vAlign w:val="center"/>
            <w:hideMark/>
          </w:tcPr>
          <w:p w14:paraId="6F33B9B1"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3.784</w:t>
            </w:r>
          </w:p>
        </w:tc>
        <w:tc>
          <w:tcPr>
            <w:tcW w:w="1417" w:type="dxa"/>
            <w:tcBorders>
              <w:top w:val="nil"/>
              <w:left w:val="nil"/>
              <w:bottom w:val="single" w:sz="4" w:space="0" w:color="auto"/>
              <w:right w:val="single" w:sz="4" w:space="0" w:color="auto"/>
            </w:tcBorders>
            <w:shd w:val="clear" w:color="auto" w:fill="auto"/>
            <w:noWrap/>
            <w:vAlign w:val="center"/>
            <w:hideMark/>
          </w:tcPr>
          <w:p w14:paraId="2E67B6DC"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3.860</w:t>
            </w:r>
          </w:p>
        </w:tc>
      </w:tr>
      <w:tr w:rsidR="00865D4B" w:rsidRPr="000B79E8" w14:paraId="658AB534" w14:textId="77777777" w:rsidTr="008B3D9C">
        <w:trPr>
          <w:trHeight w:val="360"/>
          <w:jc w:val="center"/>
        </w:trPr>
        <w:tc>
          <w:tcPr>
            <w:tcW w:w="1048" w:type="dxa"/>
            <w:tcBorders>
              <w:top w:val="nil"/>
              <w:left w:val="single" w:sz="4" w:space="0" w:color="auto"/>
              <w:bottom w:val="single" w:sz="4" w:space="0" w:color="auto"/>
              <w:right w:val="single" w:sz="4" w:space="0" w:color="auto"/>
            </w:tcBorders>
            <w:shd w:val="clear" w:color="auto" w:fill="auto"/>
            <w:noWrap/>
            <w:vAlign w:val="center"/>
            <w:hideMark/>
          </w:tcPr>
          <w:p w14:paraId="0FE93CD0" w14:textId="77777777" w:rsidR="00865D4B" w:rsidRPr="000B79E8" w:rsidRDefault="00865D4B" w:rsidP="007C590E">
            <w:pPr>
              <w:jc w:val="center"/>
              <w:rPr>
                <w:rFonts w:eastAsia="Times New Roman" w:cs="Times New Roman"/>
                <w:color w:val="000000"/>
                <w:sz w:val="20"/>
                <w:szCs w:val="20"/>
                <w:lang w:eastAsia="en-GB"/>
              </w:rPr>
            </w:pPr>
            <w:r w:rsidRPr="000B79E8">
              <w:rPr>
                <w:rFonts w:eastAsia="Times New Roman" w:cs="Times New Roman"/>
                <w:color w:val="000000"/>
                <w:sz w:val="20"/>
                <w:szCs w:val="20"/>
                <w:lang w:eastAsia="en-GB"/>
              </w:rPr>
              <w:t>S58S</w:t>
            </w:r>
          </w:p>
        </w:tc>
        <w:tc>
          <w:tcPr>
            <w:tcW w:w="1646" w:type="dxa"/>
            <w:tcBorders>
              <w:top w:val="nil"/>
              <w:left w:val="nil"/>
              <w:bottom w:val="single" w:sz="4" w:space="0" w:color="auto"/>
              <w:right w:val="single" w:sz="4" w:space="0" w:color="auto"/>
            </w:tcBorders>
            <w:shd w:val="clear" w:color="auto" w:fill="auto"/>
            <w:noWrap/>
            <w:vAlign w:val="center"/>
            <w:hideMark/>
          </w:tcPr>
          <w:p w14:paraId="01CEAA71"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2.144</w:t>
            </w:r>
          </w:p>
        </w:tc>
        <w:tc>
          <w:tcPr>
            <w:tcW w:w="1701" w:type="dxa"/>
            <w:tcBorders>
              <w:top w:val="nil"/>
              <w:left w:val="nil"/>
              <w:bottom w:val="single" w:sz="4" w:space="0" w:color="auto"/>
              <w:right w:val="single" w:sz="4" w:space="0" w:color="auto"/>
            </w:tcBorders>
            <w:shd w:val="clear" w:color="auto" w:fill="auto"/>
            <w:noWrap/>
            <w:vAlign w:val="center"/>
            <w:hideMark/>
          </w:tcPr>
          <w:p w14:paraId="706D7156"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1.993</w:t>
            </w:r>
          </w:p>
        </w:tc>
        <w:tc>
          <w:tcPr>
            <w:tcW w:w="1701" w:type="dxa"/>
            <w:tcBorders>
              <w:top w:val="nil"/>
              <w:left w:val="nil"/>
              <w:bottom w:val="single" w:sz="4" w:space="0" w:color="auto"/>
              <w:right w:val="single" w:sz="4" w:space="0" w:color="auto"/>
            </w:tcBorders>
            <w:shd w:val="clear" w:color="auto" w:fill="auto"/>
            <w:noWrap/>
            <w:vAlign w:val="center"/>
            <w:hideMark/>
          </w:tcPr>
          <w:p w14:paraId="31A1EA9B"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1.896</w:t>
            </w:r>
          </w:p>
        </w:tc>
        <w:tc>
          <w:tcPr>
            <w:tcW w:w="1417" w:type="dxa"/>
            <w:tcBorders>
              <w:top w:val="nil"/>
              <w:left w:val="nil"/>
              <w:bottom w:val="single" w:sz="4" w:space="0" w:color="auto"/>
              <w:right w:val="single" w:sz="4" w:space="0" w:color="auto"/>
            </w:tcBorders>
            <w:shd w:val="clear" w:color="auto" w:fill="auto"/>
            <w:noWrap/>
            <w:vAlign w:val="center"/>
            <w:hideMark/>
          </w:tcPr>
          <w:p w14:paraId="2BB1F82E" w14:textId="77777777" w:rsidR="00865D4B" w:rsidRPr="000B79E8" w:rsidRDefault="00865D4B" w:rsidP="007C590E">
            <w:pPr>
              <w:jc w:val="center"/>
              <w:rPr>
                <w:rFonts w:eastAsia="Times New Roman" w:cs="Times New Roman"/>
                <w:sz w:val="20"/>
                <w:szCs w:val="20"/>
                <w:lang w:eastAsia="en-GB"/>
              </w:rPr>
            </w:pPr>
            <w:r w:rsidRPr="000B79E8">
              <w:rPr>
                <w:rFonts w:eastAsia="Times New Roman" w:cs="Times New Roman"/>
                <w:sz w:val="20"/>
                <w:szCs w:val="20"/>
                <w:lang w:eastAsia="en-GB"/>
              </w:rPr>
              <w:t>2.040</w:t>
            </w:r>
          </w:p>
        </w:tc>
      </w:tr>
    </w:tbl>
    <w:p w14:paraId="15568A73" w14:textId="50F6158A" w:rsidR="00865D4B" w:rsidRDefault="00865D4B" w:rsidP="002423CA"/>
    <w:p w14:paraId="5DF5DE07" w14:textId="6EA5A233" w:rsidR="002423CA" w:rsidRPr="002630D0" w:rsidRDefault="002423CA" w:rsidP="00567AC3">
      <w:pPr>
        <w:pStyle w:val="ListParagraph"/>
        <w:numPr>
          <w:ilvl w:val="0"/>
          <w:numId w:val="33"/>
        </w:numPr>
      </w:pPr>
      <w:r w:rsidRPr="002630D0">
        <w:rPr>
          <w:b/>
          <w:bCs/>
        </w:rPr>
        <w:t>Apply the proposed correction factors</w:t>
      </w:r>
      <w:r w:rsidRPr="002630D0">
        <w:t>. The regression equations determined for each of the three groups of samples (given in Fig</w:t>
      </w:r>
      <w:r w:rsidR="002630D0" w:rsidRPr="002630D0">
        <w:t>s.</w:t>
      </w:r>
      <w:r w:rsidRPr="002630D0">
        <w:t xml:space="preserve"> 8.6 to 8.8) are used to correct the data from the respective analytical batches. All the results in the batch (control samples included) for every element identified as requiring correction. The following shows how the SRM sample S15B is corrected in each of the three groups given in this worked example. All the sample K</w:t>
      </w:r>
      <w:r w:rsidRPr="002630D0">
        <w:rPr>
          <w:vertAlign w:val="subscript"/>
        </w:rPr>
        <w:t>2</w:t>
      </w:r>
      <w:r w:rsidRPr="002630D0">
        <w:t xml:space="preserve">O results from each analytical batch will be </w:t>
      </w:r>
      <w:r w:rsidR="003A5B23">
        <w:t xml:space="preserve">similarly </w:t>
      </w:r>
      <w:r w:rsidRPr="002630D0">
        <w:t>corrected in a similar manner. It is stressed that this is a tedious procedure and must be carried out with the utmost care.</w:t>
      </w:r>
    </w:p>
    <w:p w14:paraId="3C539A18" w14:textId="77777777" w:rsidR="002423CA" w:rsidRPr="006F0D08" w:rsidRDefault="002423CA" w:rsidP="002423CA"/>
    <w:p w14:paraId="6E4B659B" w14:textId="77D5182C" w:rsidR="002423CA" w:rsidRPr="006F0D08" w:rsidRDefault="002423CA" w:rsidP="002423CA">
      <w:pPr>
        <w:ind w:firstLine="720"/>
      </w:pPr>
      <w:r w:rsidRPr="002F6769">
        <w:rPr>
          <w:b/>
          <w:bCs/>
        </w:rPr>
        <w:t>Batch 10372</w:t>
      </w:r>
      <w:r w:rsidRPr="006F0D08">
        <w:t>: K</w:t>
      </w:r>
      <w:r w:rsidRPr="002F6769">
        <w:rPr>
          <w:vertAlign w:val="subscript"/>
        </w:rPr>
        <w:t>2</w:t>
      </w:r>
      <w:r w:rsidRPr="006F0D08">
        <w:t xml:space="preserve">O = 3.030%, regression equation </w:t>
      </w:r>
      <w:r>
        <w:t>Y</w:t>
      </w:r>
      <w:r w:rsidRPr="006F0D08">
        <w:t xml:space="preserve"> = 1.0811</w:t>
      </w:r>
      <w:r>
        <w:t xml:space="preserve"> </w:t>
      </w:r>
      <w:r w:rsidR="00C1778C">
        <w:t>*</w:t>
      </w:r>
      <w:r>
        <w:t xml:space="preserve"> </w:t>
      </w:r>
      <w:r w:rsidR="00C1778C">
        <w:t>(</w:t>
      </w:r>
      <w:r>
        <w:t>X</w:t>
      </w:r>
      <w:r w:rsidRPr="006F0D08">
        <w:t xml:space="preserve"> – 0.2685</w:t>
      </w:r>
      <w:r w:rsidR="00C1778C">
        <w:t>)</w:t>
      </w:r>
      <w:r>
        <w:t>;</w:t>
      </w:r>
    </w:p>
    <w:p w14:paraId="5D85D1CF" w14:textId="75F64BA9" w:rsidR="002423CA" w:rsidRDefault="002423CA" w:rsidP="002423CA">
      <w:pPr>
        <w:ind w:left="720"/>
      </w:pPr>
      <w:r>
        <w:t xml:space="preserve">      </w:t>
      </w:r>
      <w:r w:rsidRPr="006F0D08">
        <w:t xml:space="preserve">corrected value = (1.0811 </w:t>
      </w:r>
      <w:r w:rsidR="00C1778C">
        <w:t>*</w:t>
      </w:r>
      <w:r w:rsidRPr="006F0D08">
        <w:t xml:space="preserve"> 3.030) – 0.2685 = 3.007% K</w:t>
      </w:r>
      <w:r w:rsidRPr="002F6769">
        <w:rPr>
          <w:vertAlign w:val="subscript"/>
        </w:rPr>
        <w:t>2</w:t>
      </w:r>
      <w:r w:rsidRPr="006F0D08">
        <w:t>O</w:t>
      </w:r>
    </w:p>
    <w:p w14:paraId="71CEDE9E" w14:textId="77777777" w:rsidR="002423CA" w:rsidRPr="006F0D08" w:rsidRDefault="002423CA" w:rsidP="002423CA">
      <w:pPr>
        <w:ind w:firstLine="720"/>
      </w:pPr>
    </w:p>
    <w:p w14:paraId="283F4D3C" w14:textId="28884D41" w:rsidR="002423CA" w:rsidRPr="006F0D08" w:rsidRDefault="002423CA" w:rsidP="002423CA">
      <w:pPr>
        <w:ind w:firstLine="720"/>
      </w:pPr>
      <w:r w:rsidRPr="002F6769">
        <w:rPr>
          <w:b/>
          <w:bCs/>
        </w:rPr>
        <w:t>Batch 10377</w:t>
      </w:r>
      <w:r w:rsidRPr="006F0D08">
        <w:t>: K</w:t>
      </w:r>
      <w:r w:rsidRPr="002F6769">
        <w:rPr>
          <w:vertAlign w:val="subscript"/>
        </w:rPr>
        <w:t>2</w:t>
      </w:r>
      <w:r w:rsidRPr="006F0D08">
        <w:t xml:space="preserve">O = 2.843%, regression equation </w:t>
      </w:r>
      <w:r>
        <w:t>Y</w:t>
      </w:r>
      <w:r w:rsidRPr="006F0D08">
        <w:t xml:space="preserve"> = 1.0455</w:t>
      </w:r>
      <w:r>
        <w:t xml:space="preserve"> </w:t>
      </w:r>
      <w:r w:rsidR="00C1778C">
        <w:t>*</w:t>
      </w:r>
      <w:r>
        <w:t xml:space="preserve"> </w:t>
      </w:r>
      <w:r w:rsidR="00C1778C">
        <w:t>(</w:t>
      </w:r>
      <w:r>
        <w:t>X</w:t>
      </w:r>
      <w:r w:rsidRPr="006F0D08">
        <w:t xml:space="preserve"> – 0.0796</w:t>
      </w:r>
      <w:r w:rsidR="00C1778C">
        <w:t>)</w:t>
      </w:r>
      <w:r>
        <w:t>;</w:t>
      </w:r>
    </w:p>
    <w:p w14:paraId="1F82B7C3" w14:textId="319B6826" w:rsidR="002423CA" w:rsidRDefault="002423CA" w:rsidP="002423CA">
      <w:pPr>
        <w:ind w:firstLine="720"/>
      </w:pPr>
      <w:r>
        <w:t xml:space="preserve">      </w:t>
      </w:r>
      <w:r w:rsidRPr="006F0D08">
        <w:t xml:space="preserve">corrected value = (1.0455 </w:t>
      </w:r>
      <w:r w:rsidR="00C1778C">
        <w:t>*</w:t>
      </w:r>
      <w:r w:rsidRPr="006F0D08">
        <w:t xml:space="preserve"> 2.843) – 0.0796 = 2.893% K</w:t>
      </w:r>
      <w:r w:rsidRPr="002F6769">
        <w:rPr>
          <w:vertAlign w:val="subscript"/>
        </w:rPr>
        <w:t>2</w:t>
      </w:r>
      <w:r w:rsidRPr="006F0D08">
        <w:t>O</w:t>
      </w:r>
    </w:p>
    <w:p w14:paraId="74D079D2" w14:textId="77777777" w:rsidR="002423CA" w:rsidRPr="006F0D08" w:rsidRDefault="002423CA" w:rsidP="002423CA">
      <w:pPr>
        <w:ind w:firstLine="720"/>
      </w:pPr>
    </w:p>
    <w:p w14:paraId="7CDE6027" w14:textId="77777777" w:rsidR="002423CA" w:rsidRDefault="002423CA" w:rsidP="002423CA">
      <w:pPr>
        <w:ind w:left="720"/>
      </w:pPr>
      <w:r w:rsidRPr="002F6769">
        <w:rPr>
          <w:b/>
          <w:bCs/>
        </w:rPr>
        <w:lastRenderedPageBreak/>
        <w:t>Batches after 26/12/2003</w:t>
      </w:r>
      <w:r w:rsidRPr="006F0D08">
        <w:t xml:space="preserve"> (from new, recalibrated X-Ray tube):</w:t>
      </w:r>
    </w:p>
    <w:p w14:paraId="7A1BA389" w14:textId="772997FC" w:rsidR="002423CA" w:rsidRPr="006F0D08" w:rsidRDefault="002423CA" w:rsidP="002423CA">
      <w:pPr>
        <w:ind w:left="720"/>
      </w:pPr>
      <w:r>
        <w:rPr>
          <w:b/>
          <w:bCs/>
        </w:rPr>
        <w:t xml:space="preserve">                      </w:t>
      </w:r>
      <w:r w:rsidRPr="006F0D08">
        <w:t xml:space="preserve"> K</w:t>
      </w:r>
      <w:r w:rsidRPr="002F6769">
        <w:rPr>
          <w:vertAlign w:val="subscript"/>
        </w:rPr>
        <w:t>2</w:t>
      </w:r>
      <w:r w:rsidRPr="006F0D08">
        <w:t xml:space="preserve">O = 2.752%, regression equation </w:t>
      </w:r>
      <w:r>
        <w:t>Y</w:t>
      </w:r>
      <w:r w:rsidRPr="006F0D08">
        <w:t xml:space="preserve"> = 1.0062</w:t>
      </w:r>
      <w:r>
        <w:t xml:space="preserve"> </w:t>
      </w:r>
      <w:r w:rsidR="00C1778C">
        <w:t>*</w:t>
      </w:r>
      <w:r>
        <w:t xml:space="preserve"> </w:t>
      </w:r>
      <w:r w:rsidR="00C1778C">
        <w:t>(</w:t>
      </w:r>
      <w:r>
        <w:t>X</w:t>
      </w:r>
      <w:r w:rsidRPr="006F0D08">
        <w:t xml:space="preserve"> + 0.0872</w:t>
      </w:r>
      <w:r w:rsidR="00C1778C">
        <w:t>)</w:t>
      </w:r>
      <w:r>
        <w:t xml:space="preserve">;  </w:t>
      </w:r>
    </w:p>
    <w:p w14:paraId="115DCA37" w14:textId="6EA14C41" w:rsidR="002423CA" w:rsidRDefault="002423CA" w:rsidP="002423CA">
      <w:pPr>
        <w:ind w:firstLine="720"/>
      </w:pPr>
      <w:r>
        <w:t xml:space="preserve">      </w:t>
      </w:r>
      <w:r w:rsidRPr="006F0D08">
        <w:t xml:space="preserve">corrected value = (1.0062 </w:t>
      </w:r>
      <w:r w:rsidR="00C1778C">
        <w:t>*</w:t>
      </w:r>
      <w:r w:rsidRPr="006F0D08">
        <w:t xml:space="preserve"> 2.752) + 0.0872 = 2.856% K</w:t>
      </w:r>
      <w:r w:rsidRPr="002F6769">
        <w:rPr>
          <w:vertAlign w:val="subscript"/>
        </w:rPr>
        <w:t>2</w:t>
      </w:r>
      <w:r w:rsidRPr="006F0D08">
        <w: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2423CA" w14:paraId="0853C175" w14:textId="77777777" w:rsidTr="008B3D9C">
        <w:trPr>
          <w:jc w:val="center"/>
        </w:trPr>
        <w:tc>
          <w:tcPr>
            <w:tcW w:w="9345" w:type="dxa"/>
            <w:vAlign w:val="center"/>
          </w:tcPr>
          <w:p w14:paraId="1310D8A4" w14:textId="77777777" w:rsidR="002423CA" w:rsidRDefault="002423CA" w:rsidP="008B3D9C">
            <w:pPr>
              <w:jc w:val="center"/>
              <w:rPr>
                <w:noProof/>
              </w:rPr>
            </w:pPr>
          </w:p>
        </w:tc>
      </w:tr>
      <w:tr w:rsidR="008B3D9C" w14:paraId="2183CC73" w14:textId="77777777" w:rsidTr="008B3D9C">
        <w:trPr>
          <w:jc w:val="center"/>
        </w:trPr>
        <w:tc>
          <w:tcPr>
            <w:tcW w:w="9345" w:type="dxa"/>
            <w:vAlign w:val="center"/>
          </w:tcPr>
          <w:p w14:paraId="40A55392" w14:textId="745E135D" w:rsidR="008B3D9C" w:rsidRDefault="008B3D9C" w:rsidP="008B3D9C">
            <w:pPr>
              <w:jc w:val="center"/>
            </w:pPr>
            <w:r>
              <w:rPr>
                <w:noProof/>
              </w:rPr>
              <w:drawing>
                <wp:inline distT="0" distB="0" distL="0" distR="0" wp14:anchorId="5819C322" wp14:editId="399C70ED">
                  <wp:extent cx="3122188" cy="3239992"/>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5" cstate="print">
                            <a:extLst>
                              <a:ext uri="{28A0092B-C50C-407E-A947-70E740481C1C}">
                                <a14:useLocalDpi xmlns:a14="http://schemas.microsoft.com/office/drawing/2010/main"/>
                              </a:ext>
                            </a:extLst>
                          </a:blip>
                          <a:stretch>
                            <a:fillRect/>
                          </a:stretch>
                        </pic:blipFill>
                        <pic:spPr>
                          <a:xfrm>
                            <a:off x="0" y="0"/>
                            <a:ext cx="3122188" cy="3239992"/>
                          </a:xfrm>
                          <a:prstGeom prst="rect">
                            <a:avLst/>
                          </a:prstGeom>
                        </pic:spPr>
                      </pic:pic>
                    </a:graphicData>
                  </a:graphic>
                </wp:inline>
              </w:drawing>
            </w:r>
          </w:p>
        </w:tc>
      </w:tr>
    </w:tbl>
    <w:p w14:paraId="340A093D" w14:textId="56AF23B5" w:rsidR="00865D4B" w:rsidRDefault="00AA040C" w:rsidP="00AA040C">
      <w:pPr>
        <w:pStyle w:val="Caption"/>
      </w:pPr>
      <w:r w:rsidRPr="00AA040C">
        <w:t>Figure 8.6. Regression analysis of the K</w:t>
      </w:r>
      <w:r w:rsidRPr="00AA040C">
        <w:rPr>
          <w:vertAlign w:val="subscript"/>
        </w:rPr>
        <w:t>2</w:t>
      </w:r>
      <w:r w:rsidRPr="00AA040C">
        <w:t>O results for SRMs from laboratory batch 10372 (using results in Table 8.3a initially in MS Excel to plot X-Y values and fit a linear trend line and regression equation). The green line indicates the 45</w:t>
      </w:r>
      <w:r w:rsidR="003A5B23">
        <w:t>-</w:t>
      </w:r>
      <w:r w:rsidRPr="00AA040C">
        <w:t xml:space="preserve">degree (1:1) diagonal, and the red line </w:t>
      </w:r>
      <w:r w:rsidR="003A5B23">
        <w:t xml:space="preserve">is </w:t>
      </w:r>
      <w:r w:rsidRPr="00AA040C">
        <w:t>the fitted linear correlation line. R is the linear correlation coefficient, and R</w:t>
      </w:r>
      <w:r w:rsidRPr="00AA040C">
        <w:rPr>
          <w:vertAlign w:val="superscript"/>
        </w:rPr>
        <w:t>2</w:t>
      </w:r>
      <w:r w:rsidRPr="00AA040C">
        <w:t xml:space="preserve"> </w:t>
      </w:r>
      <w:r w:rsidR="003A5B23">
        <w:t>is</w:t>
      </w:r>
      <w:r w:rsidRPr="00AA040C">
        <w:t xml:space="preserve"> a statistical measure of how close the data are to the fitted regression line. Plotted with Golden Software’s </w:t>
      </w:r>
      <w:proofErr w:type="spellStart"/>
      <w:r w:rsidRPr="00AA040C">
        <w:t>Grapher</w:t>
      </w:r>
      <w:r w:rsidRPr="00AA040C">
        <w:rPr>
          <w:vertAlign w:val="superscript"/>
        </w:rPr>
        <w:t>TM</w:t>
      </w:r>
      <w:proofErr w:type="spellEnd"/>
      <w:r w:rsidRPr="00AA040C">
        <w:t xml:space="preserve"> v20.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2423CA" w14:paraId="00B0C5F7" w14:textId="77777777" w:rsidTr="007C590E">
        <w:trPr>
          <w:jc w:val="center"/>
        </w:trPr>
        <w:tc>
          <w:tcPr>
            <w:tcW w:w="9345" w:type="dxa"/>
            <w:vAlign w:val="center"/>
          </w:tcPr>
          <w:p w14:paraId="760032FB" w14:textId="77777777" w:rsidR="002423CA" w:rsidRDefault="002423CA" w:rsidP="007C590E">
            <w:pPr>
              <w:jc w:val="center"/>
            </w:pPr>
            <w:r>
              <w:rPr>
                <w:noProof/>
              </w:rPr>
              <w:drawing>
                <wp:inline distT="0" distB="0" distL="0" distR="0" wp14:anchorId="18A75519" wp14:editId="297D3D6B">
                  <wp:extent cx="3122187" cy="3239992"/>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6" cstate="print">
                            <a:extLst>
                              <a:ext uri="{28A0092B-C50C-407E-A947-70E740481C1C}">
                                <a14:useLocalDpi xmlns:a14="http://schemas.microsoft.com/office/drawing/2010/main"/>
                              </a:ext>
                            </a:extLst>
                          </a:blip>
                          <a:stretch>
                            <a:fillRect/>
                          </a:stretch>
                        </pic:blipFill>
                        <pic:spPr>
                          <a:xfrm>
                            <a:off x="0" y="0"/>
                            <a:ext cx="3122187" cy="3239992"/>
                          </a:xfrm>
                          <a:prstGeom prst="rect">
                            <a:avLst/>
                          </a:prstGeom>
                        </pic:spPr>
                      </pic:pic>
                    </a:graphicData>
                  </a:graphic>
                </wp:inline>
              </w:drawing>
            </w:r>
          </w:p>
        </w:tc>
      </w:tr>
    </w:tbl>
    <w:p w14:paraId="541CF56D" w14:textId="0E6C6D4C" w:rsidR="002423CA" w:rsidRPr="002423CA" w:rsidRDefault="002630D0" w:rsidP="002630D0">
      <w:pPr>
        <w:pStyle w:val="Caption"/>
      </w:pPr>
      <w:r w:rsidRPr="002630D0">
        <w:t>Figure 8.7. Regression analysis of the K</w:t>
      </w:r>
      <w:r w:rsidRPr="002630D0">
        <w:rPr>
          <w:vertAlign w:val="subscript"/>
        </w:rPr>
        <w:t>2</w:t>
      </w:r>
      <w:r w:rsidRPr="002630D0">
        <w:t>O results for SRMs from laboratory batch 10377 (using results in Table 8.3b initially in MS Excel to plot X-Y values and fit a linear trend line and regression equation). The green line indicates the 45</w:t>
      </w:r>
      <w:r w:rsidR="00BD4D6E">
        <w:t>-</w:t>
      </w:r>
      <w:r w:rsidRPr="002630D0">
        <w:t xml:space="preserve">degree (1:1) diagonal, and the red line </w:t>
      </w:r>
      <w:r w:rsidR="00BD4D6E">
        <w:t xml:space="preserve">is </w:t>
      </w:r>
      <w:r w:rsidRPr="002630D0">
        <w:t>the fitted linear correlation line. R is the linear correlation coefficient, and R</w:t>
      </w:r>
      <w:r w:rsidRPr="002630D0">
        <w:rPr>
          <w:vertAlign w:val="superscript"/>
        </w:rPr>
        <w:t>2</w:t>
      </w:r>
      <w:r w:rsidRPr="002630D0">
        <w:t xml:space="preserve"> </w:t>
      </w:r>
      <w:r w:rsidR="00BD4D6E">
        <w:t>is</w:t>
      </w:r>
      <w:r w:rsidRPr="002630D0">
        <w:t xml:space="preserve"> a statistical measure of how close the data are to the fitted regression line. Plotted with Golden Software’s </w:t>
      </w:r>
      <w:proofErr w:type="spellStart"/>
      <w:r w:rsidRPr="002630D0">
        <w:t>Grapher</w:t>
      </w:r>
      <w:r w:rsidRPr="002630D0">
        <w:rPr>
          <w:vertAlign w:val="superscript"/>
        </w:rPr>
        <w:t>TM</w:t>
      </w:r>
      <w:proofErr w:type="spellEnd"/>
      <w:r w:rsidRPr="002630D0">
        <w:t xml:space="preserve"> v20.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31121A" w14:paraId="1C190C5A" w14:textId="77777777" w:rsidTr="007C590E">
        <w:trPr>
          <w:jc w:val="center"/>
        </w:trPr>
        <w:tc>
          <w:tcPr>
            <w:tcW w:w="9345" w:type="dxa"/>
            <w:vAlign w:val="center"/>
          </w:tcPr>
          <w:p w14:paraId="2FE916B6" w14:textId="77777777" w:rsidR="0031121A" w:rsidRDefault="0031121A" w:rsidP="007C590E">
            <w:pPr>
              <w:jc w:val="center"/>
              <w:rPr>
                <w:noProof/>
              </w:rPr>
            </w:pPr>
          </w:p>
        </w:tc>
      </w:tr>
      <w:tr w:rsidR="00066278" w14:paraId="189D2F03" w14:textId="77777777" w:rsidTr="007C590E">
        <w:trPr>
          <w:jc w:val="center"/>
        </w:trPr>
        <w:tc>
          <w:tcPr>
            <w:tcW w:w="9345" w:type="dxa"/>
            <w:vAlign w:val="center"/>
          </w:tcPr>
          <w:p w14:paraId="521206D6" w14:textId="77777777" w:rsidR="00066278" w:rsidRDefault="00066278" w:rsidP="007C590E">
            <w:pPr>
              <w:jc w:val="center"/>
              <w:rPr>
                <w:noProof/>
              </w:rPr>
            </w:pPr>
          </w:p>
        </w:tc>
      </w:tr>
      <w:tr w:rsidR="00066278" w14:paraId="05F81DF5" w14:textId="77777777" w:rsidTr="007C590E">
        <w:trPr>
          <w:jc w:val="center"/>
        </w:trPr>
        <w:tc>
          <w:tcPr>
            <w:tcW w:w="9345" w:type="dxa"/>
            <w:vAlign w:val="center"/>
          </w:tcPr>
          <w:p w14:paraId="70A1B05F" w14:textId="77777777" w:rsidR="00066278" w:rsidRDefault="00066278" w:rsidP="007C590E">
            <w:pPr>
              <w:jc w:val="center"/>
              <w:rPr>
                <w:noProof/>
              </w:rPr>
            </w:pPr>
          </w:p>
        </w:tc>
      </w:tr>
      <w:tr w:rsidR="002630D0" w14:paraId="7D1C87F6" w14:textId="77777777" w:rsidTr="007C590E">
        <w:trPr>
          <w:jc w:val="center"/>
        </w:trPr>
        <w:tc>
          <w:tcPr>
            <w:tcW w:w="9345" w:type="dxa"/>
            <w:vAlign w:val="center"/>
          </w:tcPr>
          <w:p w14:paraId="01DFADD5" w14:textId="77777777" w:rsidR="002630D0" w:rsidRDefault="002630D0" w:rsidP="007C590E">
            <w:pPr>
              <w:jc w:val="center"/>
            </w:pPr>
            <w:r>
              <w:rPr>
                <w:noProof/>
              </w:rPr>
              <w:drawing>
                <wp:inline distT="0" distB="0" distL="0" distR="0" wp14:anchorId="66335C51" wp14:editId="3C15132A">
                  <wp:extent cx="3122187" cy="3239991"/>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a:ext>
                            </a:extLst>
                          </a:blip>
                          <a:stretch>
                            <a:fillRect/>
                          </a:stretch>
                        </pic:blipFill>
                        <pic:spPr>
                          <a:xfrm>
                            <a:off x="0" y="0"/>
                            <a:ext cx="3122187" cy="3239991"/>
                          </a:xfrm>
                          <a:prstGeom prst="rect">
                            <a:avLst/>
                          </a:prstGeom>
                        </pic:spPr>
                      </pic:pic>
                    </a:graphicData>
                  </a:graphic>
                </wp:inline>
              </w:drawing>
            </w:r>
          </w:p>
        </w:tc>
      </w:tr>
    </w:tbl>
    <w:p w14:paraId="657FD791" w14:textId="6CD51D6A" w:rsidR="00865D4B" w:rsidRDefault="002630D0" w:rsidP="002630D0">
      <w:pPr>
        <w:pStyle w:val="Caption"/>
      </w:pPr>
      <w:r w:rsidRPr="002630D0">
        <w:t>Figure 8.8. Regression analysis of the K</w:t>
      </w:r>
      <w:r w:rsidRPr="002630D0">
        <w:rPr>
          <w:vertAlign w:val="subscript"/>
        </w:rPr>
        <w:t>2</w:t>
      </w:r>
      <w:r w:rsidRPr="002630D0">
        <w:t xml:space="preserve">O results for SRMs from </w:t>
      </w:r>
      <w:r w:rsidR="005D4924">
        <w:t>all batches after 26/12/2003</w:t>
      </w:r>
      <w:r w:rsidRPr="002630D0">
        <w:t xml:space="preserve"> (using results in Table 8.3c initially in MS Excel to plot X-Y values and fit a linear trend line and regression equation). The green line indicates the 45</w:t>
      </w:r>
      <w:r w:rsidR="00BD4D6E">
        <w:t>-</w:t>
      </w:r>
      <w:r w:rsidRPr="002630D0">
        <w:t>degree (1:1) diagonal, and the red line</w:t>
      </w:r>
      <w:r w:rsidR="00BD4D6E">
        <w:t xml:space="preserve"> is</w:t>
      </w:r>
      <w:r w:rsidRPr="002630D0">
        <w:t xml:space="preserve"> the fitted linear correlation line. R is the linear correlation coefficient, and R</w:t>
      </w:r>
      <w:r w:rsidRPr="002630D0">
        <w:rPr>
          <w:vertAlign w:val="superscript"/>
        </w:rPr>
        <w:t>2</w:t>
      </w:r>
      <w:r w:rsidRPr="002630D0">
        <w:t xml:space="preserve"> </w:t>
      </w:r>
      <w:r w:rsidR="00BD4D6E">
        <w:t>is</w:t>
      </w:r>
      <w:r w:rsidRPr="002630D0">
        <w:t xml:space="preserve"> a statistical measure of how close the data are to the fitted regression line. Plotted with Golden Software’s </w:t>
      </w:r>
      <w:proofErr w:type="spellStart"/>
      <w:r w:rsidRPr="002630D0">
        <w:t>Grapher</w:t>
      </w:r>
      <w:r w:rsidRPr="002630D0">
        <w:rPr>
          <w:vertAlign w:val="superscript"/>
        </w:rPr>
        <w:t>TM</w:t>
      </w:r>
      <w:proofErr w:type="spellEnd"/>
      <w:r w:rsidRPr="002630D0">
        <w:t xml:space="preserve"> v20.</w:t>
      </w:r>
    </w:p>
    <w:p w14:paraId="34CA77CB" w14:textId="44A31BE3" w:rsidR="006F0D08" w:rsidRPr="00202002" w:rsidRDefault="006F0D08" w:rsidP="00567AC3">
      <w:pPr>
        <w:pStyle w:val="ListParagraph"/>
        <w:numPr>
          <w:ilvl w:val="0"/>
          <w:numId w:val="33"/>
        </w:numPr>
      </w:pPr>
      <w:r w:rsidRPr="00202002">
        <w:rPr>
          <w:b/>
          <w:bCs/>
        </w:rPr>
        <w:t>Replot the time series chart with the corrected results</w:t>
      </w:r>
      <w:r w:rsidRPr="00202002">
        <w:t xml:space="preserve">. The time series chart can be replotted for each SRM and element. Figure </w:t>
      </w:r>
      <w:r w:rsidR="00A01CF1" w:rsidRPr="00202002">
        <w:t>8.</w:t>
      </w:r>
      <w:r w:rsidR="00B003E7" w:rsidRPr="00202002">
        <w:t>9</w:t>
      </w:r>
      <w:r w:rsidRPr="00202002">
        <w:t xml:space="preserve"> visually shows the extent to which the various batches have been corrected</w:t>
      </w:r>
      <w:r w:rsidR="00027A9A" w:rsidRPr="00202002">
        <w:t>. T</w:t>
      </w:r>
      <w:r w:rsidRPr="00202002">
        <w:t xml:space="preserve">he most significant change </w:t>
      </w:r>
      <w:r w:rsidR="00BD4D6E">
        <w:t xml:space="preserve">is </w:t>
      </w:r>
      <w:r w:rsidRPr="00202002">
        <w:t xml:space="preserve">the </w:t>
      </w:r>
      <w:r w:rsidRPr="00202002">
        <w:rPr>
          <w:i/>
          <w:iCs/>
        </w:rPr>
        <w:t>c</w:t>
      </w:r>
      <w:r w:rsidR="002F6769" w:rsidRPr="00202002">
        <w:rPr>
          <w:i/>
          <w:iCs/>
        </w:rPr>
        <w:t>a</w:t>
      </w:r>
      <w:r w:rsidRPr="00202002">
        <w:t>.</w:t>
      </w:r>
      <w:r w:rsidR="00C15122" w:rsidRPr="00202002">
        <w:t xml:space="preserve"> </w:t>
      </w:r>
      <w:r w:rsidRPr="00202002">
        <w:t>0.1% K</w:t>
      </w:r>
      <w:r w:rsidRPr="00202002">
        <w:rPr>
          <w:vertAlign w:val="subscript"/>
        </w:rPr>
        <w:t>2</w:t>
      </w:r>
      <w:r w:rsidRPr="00202002">
        <w:t>O raising of concentrations for samples analysed after 26/12/2003 when the new XRF instrument was recalibrated.</w:t>
      </w:r>
    </w:p>
    <w:p w14:paraId="05AB416E" w14:textId="77777777" w:rsidR="00581EEE" w:rsidRPr="00202002" w:rsidRDefault="00581EEE" w:rsidP="00581EEE"/>
    <w:p w14:paraId="4B0F252D" w14:textId="5C04D75C" w:rsidR="00581EEE" w:rsidRPr="00202002" w:rsidRDefault="006F0D08" w:rsidP="00567AC3">
      <w:pPr>
        <w:pStyle w:val="ListParagraph"/>
        <w:numPr>
          <w:ilvl w:val="0"/>
          <w:numId w:val="33"/>
        </w:numPr>
      </w:pPr>
      <w:r w:rsidRPr="00202002">
        <w:rPr>
          <w:b/>
          <w:bCs/>
        </w:rPr>
        <w:t>Plot geochemical map sheets with corrected result</w:t>
      </w:r>
      <w:r w:rsidR="00027A9A" w:rsidRPr="00202002">
        <w:rPr>
          <w:b/>
          <w:bCs/>
        </w:rPr>
        <w:t>s</w:t>
      </w:r>
      <w:r w:rsidRPr="00202002">
        <w:t xml:space="preserve">. Once the results for a map sheet area have been corrected by levelling to the satisfaction of the applied geochemist, the geochemical maps can be produced. Figure </w:t>
      </w:r>
      <w:r w:rsidR="00027A9A" w:rsidRPr="00202002">
        <w:t>8.</w:t>
      </w:r>
      <w:r w:rsidR="00B003E7" w:rsidRPr="00202002">
        <w:t>10</w:t>
      </w:r>
      <w:r w:rsidRPr="00202002">
        <w:t xml:space="preserve"> shows the regional geochemical map of </w:t>
      </w:r>
      <w:r w:rsidR="00027A9A" w:rsidRPr="00202002">
        <w:t>K</w:t>
      </w:r>
      <w:r w:rsidR="00027A9A" w:rsidRPr="00202002">
        <w:rPr>
          <w:vertAlign w:val="subscript"/>
        </w:rPr>
        <w:t>2</w:t>
      </w:r>
      <w:r w:rsidR="00027A9A" w:rsidRPr="00202002">
        <w:t>O</w:t>
      </w:r>
      <w:r w:rsidRPr="00202002">
        <w:t xml:space="preserve"> for the area covered by the worked example above. Here the changes are subtle such as the raising of areas to the next percentile level as shown within the red circle. For environmentally sensitive elements</w:t>
      </w:r>
      <w:r w:rsidR="00DD2D59" w:rsidRPr="00202002">
        <w:t>,</w:t>
      </w:r>
      <w:r w:rsidRPr="00202002">
        <w:t xml:space="preserve"> such as </w:t>
      </w:r>
      <w:r w:rsidR="00027A9A" w:rsidRPr="00202002">
        <w:t>As</w:t>
      </w:r>
      <w:r w:rsidR="00DD2D59" w:rsidRPr="00202002">
        <w:t>,</w:t>
      </w:r>
      <w:r w:rsidRPr="00202002">
        <w:t xml:space="preserve"> this raising to a higher percentile level could have significant implications for the area affected. The impact of </w:t>
      </w:r>
      <w:r w:rsidR="00D20E3F">
        <w:t xml:space="preserve">the </w:t>
      </w:r>
      <w:r w:rsidRPr="00202002">
        <w:t xml:space="preserve">levelling </w:t>
      </w:r>
      <w:r w:rsidR="00D20E3F">
        <w:t xml:space="preserve">procedure </w:t>
      </w:r>
      <w:r w:rsidRPr="00202002">
        <w:t xml:space="preserve">shown here, arising from anomalies as seen in a time series chart, and caused by instrument recalibration, </w:t>
      </w:r>
      <w:r w:rsidR="00D20E3F">
        <w:t>is</w:t>
      </w:r>
      <w:r w:rsidRPr="00202002">
        <w:t xml:space="preserve"> not as striking as the changes observed when levelling across campaign/map boundaries as shown in Fig</w:t>
      </w:r>
      <w:r w:rsidR="00C15122" w:rsidRPr="00202002">
        <w:t xml:space="preserve">ure </w:t>
      </w:r>
      <w:r w:rsidR="007E66C9" w:rsidRPr="00202002">
        <w:t>8.</w:t>
      </w:r>
      <w:r w:rsidRPr="00202002">
        <w:t>1. Plotting the geochemical images is an important part of the iterative process to level the data. It is important to look at the images in the context of other parameters (</w:t>
      </w:r>
      <w:r w:rsidR="00A26595" w:rsidRPr="00A26595">
        <w:rPr>
          <w:i/>
          <w:iCs/>
        </w:rPr>
        <w:t>e.g.</w:t>
      </w:r>
      <w:r w:rsidRPr="00202002">
        <w:t>, sampling campaign boundaries or analytical batches) that may cause analytical artefacts.</w:t>
      </w:r>
    </w:p>
    <w:p w14:paraId="1F12188D" w14:textId="77777777" w:rsidR="00581EEE" w:rsidRPr="00581EEE" w:rsidRDefault="00581EEE" w:rsidP="00581EEE"/>
    <w:p w14:paraId="4282E966" w14:textId="77777777" w:rsidR="00581EEE" w:rsidRPr="00157E5A" w:rsidRDefault="00581EEE" w:rsidP="00157E5A"/>
    <w:p w14:paraId="5697D57E" w14:textId="6740827B" w:rsidR="00581EEE" w:rsidRPr="00157E5A" w:rsidRDefault="00581EEE" w:rsidP="00157E5A"/>
    <w:p w14:paraId="30DA9FAC" w14:textId="5FD25718" w:rsidR="00157E5A" w:rsidRPr="00157E5A" w:rsidRDefault="00157E5A" w:rsidP="00157E5A"/>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57E5A" w14:paraId="05EB427C" w14:textId="77777777" w:rsidTr="007C590E">
        <w:trPr>
          <w:jc w:val="center"/>
        </w:trPr>
        <w:tc>
          <w:tcPr>
            <w:tcW w:w="9355" w:type="dxa"/>
            <w:vAlign w:val="center"/>
          </w:tcPr>
          <w:p w14:paraId="3C96F2BE" w14:textId="77777777" w:rsidR="00157E5A" w:rsidRDefault="00157E5A" w:rsidP="007C590E">
            <w:pPr>
              <w:jc w:val="center"/>
            </w:pPr>
            <w:r>
              <w:rPr>
                <w:noProof/>
              </w:rPr>
              <w:lastRenderedPageBreak/>
              <w:drawing>
                <wp:inline distT="0" distB="0" distL="0" distR="0" wp14:anchorId="2FFA8532" wp14:editId="3BB7C76C">
                  <wp:extent cx="4946990" cy="3059999"/>
                  <wp:effectExtent l="0" t="0" r="635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a:ext>
                            </a:extLst>
                          </a:blip>
                          <a:stretch>
                            <a:fillRect/>
                          </a:stretch>
                        </pic:blipFill>
                        <pic:spPr>
                          <a:xfrm>
                            <a:off x="0" y="0"/>
                            <a:ext cx="4946990" cy="3059999"/>
                          </a:xfrm>
                          <a:prstGeom prst="rect">
                            <a:avLst/>
                          </a:prstGeom>
                        </pic:spPr>
                      </pic:pic>
                    </a:graphicData>
                  </a:graphic>
                </wp:inline>
              </w:drawing>
            </w:r>
          </w:p>
        </w:tc>
      </w:tr>
    </w:tbl>
    <w:p w14:paraId="26A10853" w14:textId="5BD1C6B5" w:rsidR="00157E5A" w:rsidRDefault="00157E5A" w:rsidP="00157E5A">
      <w:pPr>
        <w:pStyle w:val="Caption"/>
      </w:pPr>
      <w:r w:rsidRPr="00157E5A">
        <w:t>Figure 8.9. Time series plot (Shewhart plot) for SRM S15B for K</w:t>
      </w:r>
      <w:r w:rsidRPr="00157E5A">
        <w:rPr>
          <w:vertAlign w:val="subscript"/>
        </w:rPr>
        <w:t>2</w:t>
      </w:r>
      <w:r w:rsidRPr="00157E5A">
        <w:t xml:space="preserve">O% showing the original and corrected results from Table 8.4 (from Johnson </w:t>
      </w:r>
      <w:r w:rsidR="00A26595" w:rsidRPr="00A26595">
        <w:t>et al.</w:t>
      </w:r>
      <w:r w:rsidRPr="00157E5A">
        <w:t xml:space="preserve">, 2018, Fig. 5.13, p.96). Plotted with Golden Software’s </w:t>
      </w:r>
      <w:proofErr w:type="spellStart"/>
      <w:r w:rsidRPr="00157E5A">
        <w:t>Grapher</w:t>
      </w:r>
      <w:r w:rsidRPr="00157E5A">
        <w:rPr>
          <w:vertAlign w:val="superscript"/>
        </w:rPr>
        <w:t>TM</w:t>
      </w:r>
      <w:proofErr w:type="spellEnd"/>
      <w:r w:rsidRPr="00157E5A">
        <w:t xml:space="preserve"> v20.</w:t>
      </w:r>
    </w:p>
    <w:p w14:paraId="66D4494C" w14:textId="288D33E9" w:rsidR="000E2F91" w:rsidRPr="000E2F91" w:rsidRDefault="000E2F91" w:rsidP="000E2F91">
      <w:pPr>
        <w:pStyle w:val="Tablecaptions"/>
      </w:pPr>
      <w:r w:rsidRPr="000E2F91">
        <w:t>Table 8.4. The original and modified K</w:t>
      </w:r>
      <w:r w:rsidRPr="004902E3">
        <w:rPr>
          <w:vertAlign w:val="subscript"/>
        </w:rPr>
        <w:t>2</w:t>
      </w:r>
      <w:r w:rsidRPr="000E2F91">
        <w:t>O% results of SRM S15B are displayed in the time series (Shewhart) plot of Figure 8.9. Note that SRM S15B was inserted as a routine sample in the analytical batches and blind to the laboratory. The results were subsequently extracted from the different batches, as indicated by the Laboratory No. and date. Refer to text for explanations.</w:t>
      </w: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851"/>
        <w:gridCol w:w="1701"/>
        <w:gridCol w:w="1134"/>
        <w:gridCol w:w="1989"/>
        <w:gridCol w:w="1559"/>
      </w:tblGrid>
      <w:tr w:rsidR="000E2F91" w:rsidRPr="00EC5664" w14:paraId="4738CF53" w14:textId="77777777" w:rsidTr="006A6A27">
        <w:trPr>
          <w:trHeight w:hRule="exact" w:val="318"/>
        </w:trPr>
        <w:tc>
          <w:tcPr>
            <w:tcW w:w="1554" w:type="dxa"/>
            <w:shd w:val="clear" w:color="auto" w:fill="D9D9D9" w:themeFill="background1" w:themeFillShade="D9"/>
            <w:noWrap/>
            <w:vAlign w:val="center"/>
            <w:hideMark/>
          </w:tcPr>
          <w:p w14:paraId="3091AE7E" w14:textId="77777777"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Sample No.</w:t>
            </w:r>
          </w:p>
        </w:tc>
        <w:tc>
          <w:tcPr>
            <w:tcW w:w="851" w:type="dxa"/>
            <w:shd w:val="clear" w:color="auto" w:fill="D9D9D9" w:themeFill="background1" w:themeFillShade="D9"/>
            <w:noWrap/>
            <w:vAlign w:val="center"/>
            <w:hideMark/>
          </w:tcPr>
          <w:p w14:paraId="5FDFF26F" w14:textId="77777777"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SRM</w:t>
            </w:r>
          </w:p>
        </w:tc>
        <w:tc>
          <w:tcPr>
            <w:tcW w:w="1701" w:type="dxa"/>
            <w:shd w:val="clear" w:color="auto" w:fill="D9D9D9" w:themeFill="background1" w:themeFillShade="D9"/>
            <w:noWrap/>
            <w:vAlign w:val="center"/>
            <w:hideMark/>
          </w:tcPr>
          <w:p w14:paraId="2D648449" w14:textId="77777777"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Laboratory No.</w:t>
            </w:r>
          </w:p>
        </w:tc>
        <w:tc>
          <w:tcPr>
            <w:tcW w:w="1134" w:type="dxa"/>
            <w:shd w:val="clear" w:color="auto" w:fill="D9D9D9" w:themeFill="background1" w:themeFillShade="D9"/>
            <w:noWrap/>
            <w:vAlign w:val="center"/>
            <w:hideMark/>
          </w:tcPr>
          <w:p w14:paraId="0433B6F2" w14:textId="77777777"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Date</w:t>
            </w:r>
          </w:p>
        </w:tc>
        <w:tc>
          <w:tcPr>
            <w:tcW w:w="1989" w:type="dxa"/>
            <w:shd w:val="clear" w:color="auto" w:fill="D9D9D9" w:themeFill="background1" w:themeFillShade="D9"/>
            <w:noWrap/>
            <w:vAlign w:val="center"/>
            <w:hideMark/>
          </w:tcPr>
          <w:p w14:paraId="4EFE0DE5" w14:textId="05C6135E"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K</w:t>
            </w:r>
            <w:r w:rsidRPr="00EC5664">
              <w:rPr>
                <w:rFonts w:eastAsia="Times New Roman" w:cs="Times New Roman"/>
                <w:b/>
                <w:bCs/>
                <w:color w:val="000000"/>
                <w:sz w:val="20"/>
                <w:szCs w:val="20"/>
                <w:vertAlign w:val="subscript"/>
                <w:lang w:eastAsia="en-GB"/>
              </w:rPr>
              <w:t>2</w:t>
            </w:r>
            <w:r w:rsidRPr="00EC5664">
              <w:rPr>
                <w:rFonts w:eastAsia="Times New Roman" w:cs="Times New Roman"/>
                <w:b/>
                <w:bCs/>
                <w:color w:val="000000"/>
                <w:sz w:val="20"/>
                <w:szCs w:val="20"/>
                <w:lang w:eastAsia="en-GB"/>
              </w:rPr>
              <w:t xml:space="preserve">O% </w:t>
            </w:r>
            <w:r w:rsidR="002E3ACB">
              <w:rPr>
                <w:rFonts w:eastAsia="Times New Roman" w:cs="Times New Roman"/>
                <w:b/>
                <w:bCs/>
                <w:color w:val="000000"/>
                <w:sz w:val="20"/>
                <w:szCs w:val="20"/>
                <w:lang w:eastAsia="en-GB"/>
              </w:rPr>
              <w:t>WD-</w:t>
            </w:r>
            <w:r w:rsidRPr="00EC5664">
              <w:rPr>
                <w:rFonts w:eastAsia="Times New Roman" w:cs="Times New Roman"/>
                <w:b/>
                <w:bCs/>
                <w:color w:val="000000"/>
                <w:sz w:val="20"/>
                <w:szCs w:val="20"/>
                <w:lang w:eastAsia="en-GB"/>
              </w:rPr>
              <w:t>XRF</w:t>
            </w:r>
            <w:r w:rsidR="002E3ACB">
              <w:rPr>
                <w:rFonts w:eastAsia="Times New Roman" w:cs="Times New Roman"/>
                <w:b/>
                <w:bCs/>
                <w:color w:val="000000"/>
                <w:sz w:val="20"/>
                <w:szCs w:val="20"/>
                <w:lang w:eastAsia="en-GB"/>
              </w:rPr>
              <w:t>S</w:t>
            </w:r>
          </w:p>
        </w:tc>
        <w:tc>
          <w:tcPr>
            <w:tcW w:w="1559" w:type="dxa"/>
            <w:shd w:val="clear" w:color="auto" w:fill="D9D9D9" w:themeFill="background1" w:themeFillShade="D9"/>
            <w:noWrap/>
            <w:vAlign w:val="center"/>
            <w:hideMark/>
          </w:tcPr>
          <w:p w14:paraId="0367FBF0" w14:textId="77777777" w:rsidR="000E2F91" w:rsidRPr="00EC5664" w:rsidRDefault="000E2F91" w:rsidP="007C590E">
            <w:pPr>
              <w:jc w:val="center"/>
              <w:rPr>
                <w:rFonts w:eastAsia="Times New Roman" w:cs="Times New Roman"/>
                <w:b/>
                <w:bCs/>
                <w:color w:val="000000"/>
                <w:sz w:val="20"/>
                <w:szCs w:val="20"/>
                <w:lang w:eastAsia="en-GB"/>
              </w:rPr>
            </w:pPr>
            <w:r w:rsidRPr="00EC5664">
              <w:rPr>
                <w:rFonts w:eastAsia="Times New Roman" w:cs="Times New Roman"/>
                <w:b/>
                <w:bCs/>
                <w:color w:val="000000"/>
                <w:sz w:val="20"/>
                <w:szCs w:val="20"/>
                <w:lang w:eastAsia="en-GB"/>
              </w:rPr>
              <w:t>Modified K</w:t>
            </w:r>
            <w:r w:rsidRPr="00EC5664">
              <w:rPr>
                <w:rFonts w:eastAsia="Times New Roman" w:cs="Times New Roman"/>
                <w:b/>
                <w:bCs/>
                <w:color w:val="000000"/>
                <w:sz w:val="20"/>
                <w:szCs w:val="20"/>
                <w:vertAlign w:val="subscript"/>
                <w:lang w:eastAsia="en-GB"/>
              </w:rPr>
              <w:t>2</w:t>
            </w:r>
            <w:r w:rsidRPr="00EC5664">
              <w:rPr>
                <w:rFonts w:eastAsia="Times New Roman" w:cs="Times New Roman"/>
                <w:b/>
                <w:bCs/>
                <w:color w:val="000000"/>
                <w:sz w:val="20"/>
                <w:szCs w:val="20"/>
                <w:lang w:eastAsia="en-GB"/>
              </w:rPr>
              <w:t>O</w:t>
            </w:r>
          </w:p>
        </w:tc>
      </w:tr>
      <w:tr w:rsidR="000E2F91" w:rsidRPr="00EC5664" w14:paraId="3B618F10" w14:textId="77777777" w:rsidTr="006A6A27">
        <w:trPr>
          <w:trHeight w:hRule="exact" w:val="318"/>
        </w:trPr>
        <w:tc>
          <w:tcPr>
            <w:tcW w:w="1554" w:type="dxa"/>
            <w:shd w:val="clear" w:color="000000" w:fill="FBE4D5"/>
            <w:noWrap/>
            <w:vAlign w:val="center"/>
            <w:hideMark/>
          </w:tcPr>
          <w:p w14:paraId="6976724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440022</w:t>
            </w:r>
          </w:p>
        </w:tc>
        <w:tc>
          <w:tcPr>
            <w:tcW w:w="851" w:type="dxa"/>
            <w:shd w:val="clear" w:color="000000" w:fill="FBE4D5"/>
            <w:noWrap/>
            <w:vAlign w:val="center"/>
            <w:hideMark/>
          </w:tcPr>
          <w:p w14:paraId="000AE07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BE4D5"/>
            <w:noWrap/>
            <w:vAlign w:val="center"/>
            <w:hideMark/>
          </w:tcPr>
          <w:p w14:paraId="3C510FF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10372-0010</w:t>
            </w:r>
          </w:p>
        </w:tc>
        <w:tc>
          <w:tcPr>
            <w:tcW w:w="1134" w:type="dxa"/>
            <w:shd w:val="clear" w:color="000000" w:fill="FBE4D5"/>
            <w:noWrap/>
            <w:vAlign w:val="center"/>
            <w:hideMark/>
          </w:tcPr>
          <w:p w14:paraId="0CDD4F9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26/6/2003</w:t>
            </w:r>
          </w:p>
        </w:tc>
        <w:tc>
          <w:tcPr>
            <w:tcW w:w="1989" w:type="dxa"/>
            <w:shd w:val="clear" w:color="000000" w:fill="FBE4D5"/>
            <w:noWrap/>
            <w:vAlign w:val="center"/>
            <w:hideMark/>
          </w:tcPr>
          <w:p w14:paraId="21424BF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3.04</w:t>
            </w:r>
          </w:p>
        </w:tc>
        <w:tc>
          <w:tcPr>
            <w:tcW w:w="1559" w:type="dxa"/>
            <w:shd w:val="clear" w:color="000000" w:fill="FBE4D5"/>
            <w:noWrap/>
            <w:vAlign w:val="center"/>
            <w:hideMark/>
          </w:tcPr>
          <w:p w14:paraId="0767FD0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3.02</w:t>
            </w:r>
          </w:p>
        </w:tc>
      </w:tr>
      <w:tr w:rsidR="000E2F91" w:rsidRPr="00EC5664" w14:paraId="2348A00D" w14:textId="77777777" w:rsidTr="006A6A27">
        <w:trPr>
          <w:trHeight w:hRule="exact" w:val="318"/>
        </w:trPr>
        <w:tc>
          <w:tcPr>
            <w:tcW w:w="1554" w:type="dxa"/>
            <w:shd w:val="clear" w:color="000000" w:fill="FBE4D5"/>
            <w:noWrap/>
            <w:vAlign w:val="center"/>
            <w:hideMark/>
          </w:tcPr>
          <w:p w14:paraId="28BA3D2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440687</w:t>
            </w:r>
          </w:p>
        </w:tc>
        <w:tc>
          <w:tcPr>
            <w:tcW w:w="851" w:type="dxa"/>
            <w:shd w:val="clear" w:color="000000" w:fill="FBE4D5"/>
            <w:noWrap/>
            <w:vAlign w:val="center"/>
            <w:hideMark/>
          </w:tcPr>
          <w:p w14:paraId="0BC8703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BE4D5"/>
            <w:noWrap/>
            <w:vAlign w:val="center"/>
            <w:hideMark/>
          </w:tcPr>
          <w:p w14:paraId="238685B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10372-0225</w:t>
            </w:r>
          </w:p>
        </w:tc>
        <w:tc>
          <w:tcPr>
            <w:tcW w:w="1134" w:type="dxa"/>
            <w:shd w:val="clear" w:color="000000" w:fill="FBE4D5"/>
            <w:noWrap/>
            <w:vAlign w:val="center"/>
            <w:hideMark/>
          </w:tcPr>
          <w:p w14:paraId="7AC38D3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6/7/2003</w:t>
            </w:r>
          </w:p>
        </w:tc>
        <w:tc>
          <w:tcPr>
            <w:tcW w:w="1989" w:type="dxa"/>
            <w:shd w:val="clear" w:color="000000" w:fill="FBE4D5"/>
            <w:noWrap/>
            <w:vAlign w:val="center"/>
            <w:hideMark/>
          </w:tcPr>
          <w:p w14:paraId="3B0EA1B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c>
          <w:tcPr>
            <w:tcW w:w="1559" w:type="dxa"/>
            <w:shd w:val="clear" w:color="000000" w:fill="FBE4D5"/>
            <w:noWrap/>
            <w:vAlign w:val="center"/>
            <w:hideMark/>
          </w:tcPr>
          <w:p w14:paraId="3B5E149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3.01</w:t>
            </w:r>
          </w:p>
        </w:tc>
      </w:tr>
      <w:tr w:rsidR="000E2F91" w:rsidRPr="00EC5664" w14:paraId="20B85A55" w14:textId="77777777" w:rsidTr="006A6A27">
        <w:trPr>
          <w:trHeight w:hRule="exact" w:val="318"/>
        </w:trPr>
        <w:tc>
          <w:tcPr>
            <w:tcW w:w="1554" w:type="dxa"/>
            <w:shd w:val="clear" w:color="000000" w:fill="FBE4D5"/>
            <w:noWrap/>
            <w:vAlign w:val="center"/>
            <w:hideMark/>
          </w:tcPr>
          <w:p w14:paraId="3430D93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440822</w:t>
            </w:r>
          </w:p>
        </w:tc>
        <w:tc>
          <w:tcPr>
            <w:tcW w:w="851" w:type="dxa"/>
            <w:shd w:val="clear" w:color="000000" w:fill="FBE4D5"/>
            <w:noWrap/>
            <w:vAlign w:val="center"/>
            <w:hideMark/>
          </w:tcPr>
          <w:p w14:paraId="510A835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BE4D5"/>
            <w:noWrap/>
            <w:vAlign w:val="center"/>
            <w:hideMark/>
          </w:tcPr>
          <w:p w14:paraId="1B5DE22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10372-0260</w:t>
            </w:r>
          </w:p>
        </w:tc>
        <w:tc>
          <w:tcPr>
            <w:tcW w:w="1134" w:type="dxa"/>
            <w:shd w:val="clear" w:color="000000" w:fill="FBE4D5"/>
            <w:noWrap/>
            <w:vAlign w:val="center"/>
            <w:hideMark/>
          </w:tcPr>
          <w:p w14:paraId="7BB9861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7/7/2003</w:t>
            </w:r>
          </w:p>
        </w:tc>
        <w:tc>
          <w:tcPr>
            <w:tcW w:w="1989" w:type="dxa"/>
            <w:shd w:val="clear" w:color="000000" w:fill="FBE4D5"/>
            <w:noWrap/>
            <w:vAlign w:val="center"/>
            <w:hideMark/>
          </w:tcPr>
          <w:p w14:paraId="175A531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3.02</w:t>
            </w:r>
          </w:p>
        </w:tc>
        <w:tc>
          <w:tcPr>
            <w:tcW w:w="1559" w:type="dxa"/>
            <w:shd w:val="clear" w:color="000000" w:fill="FBE4D5"/>
            <w:noWrap/>
            <w:vAlign w:val="center"/>
            <w:hideMark/>
          </w:tcPr>
          <w:p w14:paraId="7F31488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w:t>
            </w:r>
            <w:r>
              <w:rPr>
                <w:rFonts w:eastAsia="Times New Roman" w:cs="Times New Roman"/>
                <w:color w:val="000000"/>
                <w:sz w:val="20"/>
                <w:szCs w:val="20"/>
                <w:lang w:eastAsia="en-GB"/>
              </w:rPr>
              <w:t>.00</w:t>
            </w:r>
          </w:p>
        </w:tc>
      </w:tr>
      <w:tr w:rsidR="000E2F91" w:rsidRPr="00EC5664" w14:paraId="41E760BA" w14:textId="77777777" w:rsidTr="006A6A27">
        <w:trPr>
          <w:trHeight w:hRule="exact" w:val="318"/>
        </w:trPr>
        <w:tc>
          <w:tcPr>
            <w:tcW w:w="1554" w:type="dxa"/>
            <w:shd w:val="clear" w:color="000000" w:fill="FBE4D5"/>
            <w:noWrap/>
            <w:vAlign w:val="center"/>
            <w:hideMark/>
          </w:tcPr>
          <w:p w14:paraId="5B6E28F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441087</w:t>
            </w:r>
          </w:p>
        </w:tc>
        <w:tc>
          <w:tcPr>
            <w:tcW w:w="851" w:type="dxa"/>
            <w:shd w:val="clear" w:color="000000" w:fill="FBE4D5"/>
            <w:noWrap/>
            <w:vAlign w:val="center"/>
            <w:hideMark/>
          </w:tcPr>
          <w:p w14:paraId="2C25C35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BE4D5"/>
            <w:noWrap/>
            <w:vAlign w:val="center"/>
            <w:hideMark/>
          </w:tcPr>
          <w:p w14:paraId="3FC41BB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10372-0341</w:t>
            </w:r>
          </w:p>
        </w:tc>
        <w:tc>
          <w:tcPr>
            <w:tcW w:w="1134" w:type="dxa"/>
            <w:shd w:val="clear" w:color="000000" w:fill="FBE4D5"/>
            <w:noWrap/>
            <w:vAlign w:val="center"/>
            <w:hideMark/>
          </w:tcPr>
          <w:p w14:paraId="6167913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12/7/2003</w:t>
            </w:r>
          </w:p>
        </w:tc>
        <w:tc>
          <w:tcPr>
            <w:tcW w:w="1989" w:type="dxa"/>
            <w:shd w:val="clear" w:color="000000" w:fill="FBE4D5"/>
            <w:noWrap/>
            <w:vAlign w:val="center"/>
            <w:hideMark/>
          </w:tcPr>
          <w:p w14:paraId="5D3B007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3.04</w:t>
            </w:r>
          </w:p>
        </w:tc>
        <w:tc>
          <w:tcPr>
            <w:tcW w:w="1559" w:type="dxa"/>
            <w:shd w:val="clear" w:color="000000" w:fill="FBE4D5"/>
            <w:noWrap/>
            <w:vAlign w:val="center"/>
            <w:hideMark/>
          </w:tcPr>
          <w:p w14:paraId="3B8D970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3.02</w:t>
            </w:r>
          </w:p>
        </w:tc>
      </w:tr>
      <w:tr w:rsidR="000E2F91" w:rsidRPr="00EC5664" w14:paraId="6CA2E9A4" w14:textId="77777777" w:rsidTr="006A6A27">
        <w:trPr>
          <w:trHeight w:hRule="exact" w:val="318"/>
        </w:trPr>
        <w:tc>
          <w:tcPr>
            <w:tcW w:w="1554" w:type="dxa"/>
            <w:shd w:val="clear" w:color="000000" w:fill="FFF2CC"/>
            <w:noWrap/>
            <w:vAlign w:val="center"/>
            <w:hideMark/>
          </w:tcPr>
          <w:p w14:paraId="6476851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441622</w:t>
            </w:r>
          </w:p>
        </w:tc>
        <w:tc>
          <w:tcPr>
            <w:tcW w:w="851" w:type="dxa"/>
            <w:shd w:val="clear" w:color="000000" w:fill="FFF2CC"/>
            <w:noWrap/>
            <w:vAlign w:val="center"/>
            <w:hideMark/>
          </w:tcPr>
          <w:p w14:paraId="31DD25D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2CC"/>
            <w:noWrap/>
            <w:vAlign w:val="center"/>
            <w:hideMark/>
          </w:tcPr>
          <w:p w14:paraId="0C026CF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10377-0052</w:t>
            </w:r>
          </w:p>
        </w:tc>
        <w:tc>
          <w:tcPr>
            <w:tcW w:w="1134" w:type="dxa"/>
            <w:shd w:val="clear" w:color="000000" w:fill="FFF2CC"/>
            <w:noWrap/>
            <w:vAlign w:val="center"/>
            <w:hideMark/>
          </w:tcPr>
          <w:p w14:paraId="541A5BB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22/7/2003</w:t>
            </w:r>
          </w:p>
        </w:tc>
        <w:tc>
          <w:tcPr>
            <w:tcW w:w="1989" w:type="dxa"/>
            <w:shd w:val="clear" w:color="000000" w:fill="FFF2CC"/>
            <w:noWrap/>
            <w:vAlign w:val="center"/>
            <w:hideMark/>
          </w:tcPr>
          <w:p w14:paraId="123CCF6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c>
          <w:tcPr>
            <w:tcW w:w="1559" w:type="dxa"/>
            <w:shd w:val="clear" w:color="000000" w:fill="FFF2CC"/>
            <w:noWrap/>
            <w:vAlign w:val="center"/>
            <w:hideMark/>
          </w:tcPr>
          <w:p w14:paraId="41EE439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2.89</w:t>
            </w:r>
          </w:p>
        </w:tc>
      </w:tr>
      <w:tr w:rsidR="000E2F91" w:rsidRPr="00EC5664" w14:paraId="63D99B10" w14:textId="77777777" w:rsidTr="006A6A27">
        <w:trPr>
          <w:trHeight w:hRule="exact" w:val="318"/>
        </w:trPr>
        <w:tc>
          <w:tcPr>
            <w:tcW w:w="1554" w:type="dxa"/>
            <w:shd w:val="clear" w:color="000000" w:fill="FFF2CC"/>
            <w:noWrap/>
            <w:vAlign w:val="center"/>
            <w:hideMark/>
          </w:tcPr>
          <w:p w14:paraId="40EA1BD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441887</w:t>
            </w:r>
          </w:p>
        </w:tc>
        <w:tc>
          <w:tcPr>
            <w:tcW w:w="851" w:type="dxa"/>
            <w:shd w:val="clear" w:color="000000" w:fill="FFF2CC"/>
            <w:noWrap/>
            <w:vAlign w:val="center"/>
            <w:hideMark/>
          </w:tcPr>
          <w:p w14:paraId="703B945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2CC"/>
            <w:noWrap/>
            <w:vAlign w:val="center"/>
            <w:hideMark/>
          </w:tcPr>
          <w:p w14:paraId="38B5FFF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10377-0109</w:t>
            </w:r>
          </w:p>
        </w:tc>
        <w:tc>
          <w:tcPr>
            <w:tcW w:w="1134" w:type="dxa"/>
            <w:shd w:val="clear" w:color="000000" w:fill="FFF2CC"/>
            <w:noWrap/>
            <w:vAlign w:val="center"/>
            <w:hideMark/>
          </w:tcPr>
          <w:p w14:paraId="392A132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25/7/2003</w:t>
            </w:r>
          </w:p>
        </w:tc>
        <w:tc>
          <w:tcPr>
            <w:tcW w:w="1989" w:type="dxa"/>
            <w:shd w:val="clear" w:color="000000" w:fill="FFF2CC"/>
            <w:noWrap/>
            <w:vAlign w:val="center"/>
            <w:hideMark/>
          </w:tcPr>
          <w:p w14:paraId="1E2CB5C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2.86</w:t>
            </w:r>
          </w:p>
        </w:tc>
        <w:tc>
          <w:tcPr>
            <w:tcW w:w="1559" w:type="dxa"/>
            <w:shd w:val="clear" w:color="000000" w:fill="FFF2CC"/>
            <w:noWrap/>
            <w:vAlign w:val="center"/>
            <w:hideMark/>
          </w:tcPr>
          <w:p w14:paraId="34455BA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2.91</w:t>
            </w:r>
          </w:p>
        </w:tc>
      </w:tr>
      <w:tr w:rsidR="000E2F91" w:rsidRPr="00EC5664" w14:paraId="6CB7ACE1" w14:textId="77777777" w:rsidTr="006A6A27">
        <w:trPr>
          <w:trHeight w:hRule="exact" w:val="318"/>
        </w:trPr>
        <w:tc>
          <w:tcPr>
            <w:tcW w:w="1554" w:type="dxa"/>
            <w:shd w:val="clear" w:color="000000" w:fill="FFF2CC"/>
            <w:noWrap/>
            <w:vAlign w:val="center"/>
            <w:hideMark/>
          </w:tcPr>
          <w:p w14:paraId="2E1E91A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442128</w:t>
            </w:r>
          </w:p>
        </w:tc>
        <w:tc>
          <w:tcPr>
            <w:tcW w:w="851" w:type="dxa"/>
            <w:shd w:val="clear" w:color="000000" w:fill="FFF2CC"/>
            <w:noWrap/>
            <w:vAlign w:val="center"/>
            <w:hideMark/>
          </w:tcPr>
          <w:p w14:paraId="65C6692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2CC"/>
            <w:noWrap/>
            <w:vAlign w:val="center"/>
            <w:hideMark/>
          </w:tcPr>
          <w:p w14:paraId="07BD64A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10377-0196</w:t>
            </w:r>
          </w:p>
        </w:tc>
        <w:tc>
          <w:tcPr>
            <w:tcW w:w="1134" w:type="dxa"/>
            <w:shd w:val="clear" w:color="000000" w:fill="FFF2CC"/>
            <w:noWrap/>
            <w:vAlign w:val="center"/>
            <w:hideMark/>
          </w:tcPr>
          <w:p w14:paraId="07CA04F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29/7/2003</w:t>
            </w:r>
          </w:p>
        </w:tc>
        <w:tc>
          <w:tcPr>
            <w:tcW w:w="1989" w:type="dxa"/>
            <w:shd w:val="clear" w:color="000000" w:fill="FFF2CC"/>
            <w:noWrap/>
            <w:vAlign w:val="center"/>
            <w:hideMark/>
          </w:tcPr>
          <w:p w14:paraId="6C2D9CC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2.83</w:t>
            </w:r>
          </w:p>
        </w:tc>
        <w:tc>
          <w:tcPr>
            <w:tcW w:w="1559" w:type="dxa"/>
            <w:shd w:val="clear" w:color="000000" w:fill="FFF2CC"/>
            <w:noWrap/>
            <w:vAlign w:val="center"/>
            <w:hideMark/>
          </w:tcPr>
          <w:p w14:paraId="2CE51DD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2.88</w:t>
            </w:r>
          </w:p>
        </w:tc>
      </w:tr>
      <w:tr w:rsidR="000E2F91" w:rsidRPr="00EC5664" w14:paraId="6265A5EF" w14:textId="77777777" w:rsidTr="006A6A27">
        <w:trPr>
          <w:trHeight w:hRule="exact" w:val="318"/>
        </w:trPr>
        <w:tc>
          <w:tcPr>
            <w:tcW w:w="1554" w:type="dxa"/>
            <w:shd w:val="clear" w:color="000000" w:fill="D9E2F3"/>
            <w:noWrap/>
            <w:vAlign w:val="center"/>
            <w:hideMark/>
          </w:tcPr>
          <w:p w14:paraId="5D702EC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440287</w:t>
            </w:r>
          </w:p>
        </w:tc>
        <w:tc>
          <w:tcPr>
            <w:tcW w:w="851" w:type="dxa"/>
            <w:shd w:val="clear" w:color="000000" w:fill="D9E2F3"/>
            <w:noWrap/>
            <w:vAlign w:val="center"/>
            <w:hideMark/>
          </w:tcPr>
          <w:p w14:paraId="33BF1F4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D9E2F3"/>
            <w:noWrap/>
            <w:vAlign w:val="center"/>
            <w:hideMark/>
          </w:tcPr>
          <w:p w14:paraId="4620776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10372-0102</w:t>
            </w:r>
          </w:p>
        </w:tc>
        <w:tc>
          <w:tcPr>
            <w:tcW w:w="1134" w:type="dxa"/>
            <w:shd w:val="clear" w:color="000000" w:fill="D9E2F3"/>
            <w:noWrap/>
            <w:vAlign w:val="center"/>
            <w:hideMark/>
          </w:tcPr>
          <w:p w14:paraId="6690BD1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9/10/2003</w:t>
            </w:r>
          </w:p>
        </w:tc>
        <w:tc>
          <w:tcPr>
            <w:tcW w:w="1989" w:type="dxa"/>
            <w:shd w:val="clear" w:color="000000" w:fill="D9E2F3"/>
            <w:noWrap/>
            <w:vAlign w:val="center"/>
            <w:hideMark/>
          </w:tcPr>
          <w:p w14:paraId="59B3416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c>
          <w:tcPr>
            <w:tcW w:w="1559" w:type="dxa"/>
            <w:shd w:val="clear" w:color="000000" w:fill="D9E2F3"/>
            <w:noWrap/>
            <w:vAlign w:val="center"/>
            <w:hideMark/>
          </w:tcPr>
          <w:p w14:paraId="4CE0AD5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3.01</w:t>
            </w:r>
          </w:p>
        </w:tc>
      </w:tr>
      <w:tr w:rsidR="000E2F91" w:rsidRPr="00EC5664" w14:paraId="40EB0D95" w14:textId="77777777" w:rsidTr="006A6A27">
        <w:trPr>
          <w:trHeight w:hRule="exact" w:val="318"/>
        </w:trPr>
        <w:tc>
          <w:tcPr>
            <w:tcW w:w="1554" w:type="dxa"/>
            <w:shd w:val="clear" w:color="000000" w:fill="D9E2F3"/>
            <w:noWrap/>
            <w:vAlign w:val="center"/>
            <w:hideMark/>
          </w:tcPr>
          <w:p w14:paraId="709BB3C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440422</w:t>
            </w:r>
          </w:p>
        </w:tc>
        <w:tc>
          <w:tcPr>
            <w:tcW w:w="851" w:type="dxa"/>
            <w:shd w:val="clear" w:color="000000" w:fill="D9E2F3"/>
            <w:noWrap/>
            <w:vAlign w:val="center"/>
            <w:hideMark/>
          </w:tcPr>
          <w:p w14:paraId="204D30C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D9E2F3"/>
            <w:noWrap/>
            <w:vAlign w:val="center"/>
            <w:hideMark/>
          </w:tcPr>
          <w:p w14:paraId="4C55782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10372-0150</w:t>
            </w:r>
          </w:p>
        </w:tc>
        <w:tc>
          <w:tcPr>
            <w:tcW w:w="1134" w:type="dxa"/>
            <w:shd w:val="clear" w:color="000000" w:fill="D9E2F3"/>
            <w:noWrap/>
            <w:vAlign w:val="center"/>
            <w:hideMark/>
          </w:tcPr>
          <w:p w14:paraId="05EEF73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13/10/2003</w:t>
            </w:r>
          </w:p>
        </w:tc>
        <w:tc>
          <w:tcPr>
            <w:tcW w:w="1989" w:type="dxa"/>
            <w:shd w:val="clear" w:color="000000" w:fill="D9E2F3"/>
            <w:noWrap/>
            <w:vAlign w:val="center"/>
            <w:hideMark/>
          </w:tcPr>
          <w:p w14:paraId="3B8EAF4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3.03</w:t>
            </w:r>
          </w:p>
        </w:tc>
        <w:tc>
          <w:tcPr>
            <w:tcW w:w="1559" w:type="dxa"/>
            <w:shd w:val="clear" w:color="000000" w:fill="D9E2F3"/>
            <w:noWrap/>
            <w:vAlign w:val="center"/>
            <w:hideMark/>
          </w:tcPr>
          <w:p w14:paraId="6BE8114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3.01</w:t>
            </w:r>
          </w:p>
        </w:tc>
      </w:tr>
      <w:tr w:rsidR="000E2F91" w:rsidRPr="00EC5664" w14:paraId="14AA1C07" w14:textId="77777777" w:rsidTr="006A6A27">
        <w:trPr>
          <w:trHeight w:hRule="exact" w:val="318"/>
        </w:trPr>
        <w:tc>
          <w:tcPr>
            <w:tcW w:w="1554" w:type="dxa"/>
            <w:shd w:val="clear" w:color="000000" w:fill="E2EFD9"/>
            <w:noWrap/>
            <w:vAlign w:val="center"/>
            <w:hideMark/>
          </w:tcPr>
          <w:p w14:paraId="1474E9A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444022</w:t>
            </w:r>
          </w:p>
        </w:tc>
        <w:tc>
          <w:tcPr>
            <w:tcW w:w="851" w:type="dxa"/>
            <w:shd w:val="clear" w:color="000000" w:fill="E2EFD9"/>
            <w:noWrap/>
            <w:vAlign w:val="center"/>
            <w:hideMark/>
          </w:tcPr>
          <w:p w14:paraId="6435051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E2EFD9"/>
            <w:noWrap/>
            <w:vAlign w:val="center"/>
            <w:hideMark/>
          </w:tcPr>
          <w:p w14:paraId="6111E1A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10587-0022</w:t>
            </w:r>
          </w:p>
        </w:tc>
        <w:tc>
          <w:tcPr>
            <w:tcW w:w="1134" w:type="dxa"/>
            <w:shd w:val="clear" w:color="000000" w:fill="E2EFD9"/>
            <w:noWrap/>
            <w:vAlign w:val="center"/>
            <w:hideMark/>
          </w:tcPr>
          <w:p w14:paraId="060AC5B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25/12/2003</w:t>
            </w:r>
          </w:p>
        </w:tc>
        <w:tc>
          <w:tcPr>
            <w:tcW w:w="1989" w:type="dxa"/>
            <w:shd w:val="clear" w:color="000000" w:fill="E2EFD9"/>
            <w:noWrap/>
            <w:vAlign w:val="center"/>
            <w:hideMark/>
          </w:tcPr>
          <w:p w14:paraId="6650F07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2.75</w:t>
            </w:r>
          </w:p>
        </w:tc>
        <w:tc>
          <w:tcPr>
            <w:tcW w:w="1559" w:type="dxa"/>
            <w:shd w:val="clear" w:color="000000" w:fill="E2EFD9"/>
            <w:noWrap/>
            <w:vAlign w:val="center"/>
            <w:hideMark/>
          </w:tcPr>
          <w:p w14:paraId="4A25513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2.85</w:t>
            </w:r>
          </w:p>
        </w:tc>
      </w:tr>
      <w:tr w:rsidR="000E2F91" w:rsidRPr="00EC5664" w14:paraId="06AC6959" w14:textId="77777777" w:rsidTr="006A6A27">
        <w:trPr>
          <w:trHeight w:hRule="exact" w:val="318"/>
        </w:trPr>
        <w:tc>
          <w:tcPr>
            <w:tcW w:w="1554" w:type="dxa"/>
            <w:shd w:val="clear" w:color="000000" w:fill="E2EFD9"/>
            <w:noWrap/>
            <w:vAlign w:val="center"/>
            <w:hideMark/>
          </w:tcPr>
          <w:p w14:paraId="5D01F8F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442422</w:t>
            </w:r>
          </w:p>
        </w:tc>
        <w:tc>
          <w:tcPr>
            <w:tcW w:w="851" w:type="dxa"/>
            <w:shd w:val="clear" w:color="000000" w:fill="E2EFD9"/>
            <w:noWrap/>
            <w:vAlign w:val="center"/>
            <w:hideMark/>
          </w:tcPr>
          <w:p w14:paraId="2FB9971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E2EFD9"/>
            <w:noWrap/>
            <w:vAlign w:val="center"/>
            <w:hideMark/>
          </w:tcPr>
          <w:p w14:paraId="7DE71CE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10587-0026</w:t>
            </w:r>
          </w:p>
        </w:tc>
        <w:tc>
          <w:tcPr>
            <w:tcW w:w="1134" w:type="dxa"/>
            <w:shd w:val="clear" w:color="000000" w:fill="E2EFD9"/>
            <w:noWrap/>
            <w:vAlign w:val="center"/>
            <w:hideMark/>
          </w:tcPr>
          <w:p w14:paraId="264BF2C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25/12/2003</w:t>
            </w:r>
          </w:p>
        </w:tc>
        <w:tc>
          <w:tcPr>
            <w:tcW w:w="1989" w:type="dxa"/>
            <w:shd w:val="clear" w:color="000000" w:fill="E2EFD9"/>
            <w:noWrap/>
            <w:vAlign w:val="center"/>
            <w:hideMark/>
          </w:tcPr>
          <w:p w14:paraId="4AAD8CB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2.83</w:t>
            </w:r>
          </w:p>
        </w:tc>
        <w:tc>
          <w:tcPr>
            <w:tcW w:w="1559" w:type="dxa"/>
            <w:shd w:val="clear" w:color="000000" w:fill="E2EFD9"/>
            <w:noWrap/>
            <w:vAlign w:val="center"/>
            <w:hideMark/>
          </w:tcPr>
          <w:p w14:paraId="7EFB385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2.93</w:t>
            </w:r>
          </w:p>
        </w:tc>
      </w:tr>
      <w:tr w:rsidR="000E2F91" w:rsidRPr="00EC5664" w14:paraId="29E0EF88" w14:textId="77777777" w:rsidTr="006A6A27">
        <w:trPr>
          <w:trHeight w:hRule="exact" w:val="318"/>
        </w:trPr>
        <w:tc>
          <w:tcPr>
            <w:tcW w:w="1554" w:type="dxa"/>
            <w:shd w:val="clear" w:color="000000" w:fill="E2EFD9"/>
            <w:noWrap/>
            <w:vAlign w:val="center"/>
            <w:hideMark/>
          </w:tcPr>
          <w:p w14:paraId="1F5240C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444217</w:t>
            </w:r>
          </w:p>
        </w:tc>
        <w:tc>
          <w:tcPr>
            <w:tcW w:w="851" w:type="dxa"/>
            <w:shd w:val="clear" w:color="000000" w:fill="E2EFD9"/>
            <w:noWrap/>
            <w:vAlign w:val="center"/>
            <w:hideMark/>
          </w:tcPr>
          <w:p w14:paraId="318C6DD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E2EFD9"/>
            <w:noWrap/>
            <w:vAlign w:val="center"/>
            <w:hideMark/>
          </w:tcPr>
          <w:p w14:paraId="735E662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10587-0064</w:t>
            </w:r>
          </w:p>
        </w:tc>
        <w:tc>
          <w:tcPr>
            <w:tcW w:w="1134" w:type="dxa"/>
            <w:shd w:val="clear" w:color="000000" w:fill="E2EFD9"/>
            <w:noWrap/>
            <w:vAlign w:val="center"/>
            <w:hideMark/>
          </w:tcPr>
          <w:p w14:paraId="07820E5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28/12/2003</w:t>
            </w:r>
          </w:p>
        </w:tc>
        <w:tc>
          <w:tcPr>
            <w:tcW w:w="1989" w:type="dxa"/>
            <w:shd w:val="clear" w:color="000000" w:fill="E2EFD9"/>
            <w:noWrap/>
            <w:vAlign w:val="center"/>
            <w:hideMark/>
          </w:tcPr>
          <w:p w14:paraId="236BB74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2.79</w:t>
            </w:r>
          </w:p>
        </w:tc>
        <w:tc>
          <w:tcPr>
            <w:tcW w:w="1559" w:type="dxa"/>
            <w:shd w:val="clear" w:color="000000" w:fill="E2EFD9"/>
            <w:noWrap/>
            <w:vAlign w:val="center"/>
            <w:hideMark/>
          </w:tcPr>
          <w:p w14:paraId="7662082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2.89</w:t>
            </w:r>
          </w:p>
        </w:tc>
      </w:tr>
      <w:tr w:rsidR="000E2F91" w:rsidRPr="00EC5664" w14:paraId="08FC053C" w14:textId="77777777" w:rsidTr="006A6A27">
        <w:trPr>
          <w:trHeight w:hRule="exact" w:val="318"/>
        </w:trPr>
        <w:tc>
          <w:tcPr>
            <w:tcW w:w="1554" w:type="dxa"/>
            <w:shd w:val="clear" w:color="000000" w:fill="FFFFCC"/>
            <w:noWrap/>
            <w:vAlign w:val="center"/>
            <w:hideMark/>
          </w:tcPr>
          <w:p w14:paraId="3552030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442928</w:t>
            </w:r>
          </w:p>
        </w:tc>
        <w:tc>
          <w:tcPr>
            <w:tcW w:w="851" w:type="dxa"/>
            <w:shd w:val="clear" w:color="000000" w:fill="FFFFCC"/>
            <w:noWrap/>
            <w:vAlign w:val="center"/>
            <w:hideMark/>
          </w:tcPr>
          <w:p w14:paraId="264A2BF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FCC"/>
            <w:noWrap/>
            <w:vAlign w:val="center"/>
            <w:hideMark/>
          </w:tcPr>
          <w:p w14:paraId="068533B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10586-0190</w:t>
            </w:r>
          </w:p>
        </w:tc>
        <w:tc>
          <w:tcPr>
            <w:tcW w:w="1134" w:type="dxa"/>
            <w:shd w:val="clear" w:color="000000" w:fill="FFFFCC"/>
            <w:noWrap/>
            <w:vAlign w:val="center"/>
            <w:hideMark/>
          </w:tcPr>
          <w:p w14:paraId="3F1EBC6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15/1/2004</w:t>
            </w:r>
          </w:p>
        </w:tc>
        <w:tc>
          <w:tcPr>
            <w:tcW w:w="1989" w:type="dxa"/>
            <w:shd w:val="clear" w:color="000000" w:fill="FFFFCC"/>
            <w:noWrap/>
            <w:vAlign w:val="center"/>
            <w:hideMark/>
          </w:tcPr>
          <w:p w14:paraId="192F17C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c>
          <w:tcPr>
            <w:tcW w:w="1559" w:type="dxa"/>
            <w:shd w:val="clear" w:color="000000" w:fill="FFFFCC"/>
            <w:noWrap/>
            <w:vAlign w:val="center"/>
            <w:hideMark/>
          </w:tcPr>
          <w:p w14:paraId="3EB0355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r>
      <w:tr w:rsidR="000E2F91" w:rsidRPr="00EC5664" w14:paraId="19911357" w14:textId="77777777" w:rsidTr="006A6A27">
        <w:trPr>
          <w:trHeight w:hRule="exact" w:val="318"/>
        </w:trPr>
        <w:tc>
          <w:tcPr>
            <w:tcW w:w="1554" w:type="dxa"/>
            <w:shd w:val="clear" w:color="000000" w:fill="FFFFCC"/>
            <w:noWrap/>
            <w:vAlign w:val="center"/>
            <w:hideMark/>
          </w:tcPr>
          <w:p w14:paraId="4761771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443196</w:t>
            </w:r>
          </w:p>
        </w:tc>
        <w:tc>
          <w:tcPr>
            <w:tcW w:w="851" w:type="dxa"/>
            <w:shd w:val="clear" w:color="000000" w:fill="FFFFCC"/>
            <w:noWrap/>
            <w:vAlign w:val="center"/>
            <w:hideMark/>
          </w:tcPr>
          <w:p w14:paraId="01233C6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FCC"/>
            <w:noWrap/>
            <w:vAlign w:val="center"/>
            <w:hideMark/>
          </w:tcPr>
          <w:p w14:paraId="3FCFE22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10586-0280</w:t>
            </w:r>
          </w:p>
        </w:tc>
        <w:tc>
          <w:tcPr>
            <w:tcW w:w="1134" w:type="dxa"/>
            <w:shd w:val="clear" w:color="000000" w:fill="FFFFCC"/>
            <w:noWrap/>
            <w:vAlign w:val="center"/>
            <w:hideMark/>
          </w:tcPr>
          <w:p w14:paraId="2522C8C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23/1/2004</w:t>
            </w:r>
          </w:p>
        </w:tc>
        <w:tc>
          <w:tcPr>
            <w:tcW w:w="1989" w:type="dxa"/>
            <w:shd w:val="clear" w:color="000000" w:fill="FFFFCC"/>
            <w:noWrap/>
            <w:vAlign w:val="center"/>
            <w:hideMark/>
          </w:tcPr>
          <w:p w14:paraId="427C8555"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2.77</w:t>
            </w:r>
          </w:p>
        </w:tc>
        <w:tc>
          <w:tcPr>
            <w:tcW w:w="1559" w:type="dxa"/>
            <w:shd w:val="clear" w:color="000000" w:fill="FFFFCC"/>
            <w:noWrap/>
            <w:vAlign w:val="center"/>
            <w:hideMark/>
          </w:tcPr>
          <w:p w14:paraId="3E13D2F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2.87</w:t>
            </w:r>
          </w:p>
        </w:tc>
      </w:tr>
      <w:tr w:rsidR="000E2F91" w:rsidRPr="00EC5664" w14:paraId="4526F083" w14:textId="77777777" w:rsidTr="006A6A27">
        <w:trPr>
          <w:trHeight w:hRule="exact" w:val="318"/>
        </w:trPr>
        <w:tc>
          <w:tcPr>
            <w:tcW w:w="1554" w:type="dxa"/>
            <w:shd w:val="clear" w:color="000000" w:fill="FFFFCC"/>
            <w:noWrap/>
            <w:vAlign w:val="center"/>
            <w:hideMark/>
          </w:tcPr>
          <w:p w14:paraId="6D9FC0A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443417</w:t>
            </w:r>
          </w:p>
        </w:tc>
        <w:tc>
          <w:tcPr>
            <w:tcW w:w="851" w:type="dxa"/>
            <w:shd w:val="clear" w:color="000000" w:fill="FFFFCC"/>
            <w:noWrap/>
            <w:vAlign w:val="center"/>
            <w:hideMark/>
          </w:tcPr>
          <w:p w14:paraId="24ADBA0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FCC"/>
            <w:noWrap/>
            <w:vAlign w:val="center"/>
            <w:hideMark/>
          </w:tcPr>
          <w:p w14:paraId="37C67AC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10586-0346</w:t>
            </w:r>
          </w:p>
        </w:tc>
        <w:tc>
          <w:tcPr>
            <w:tcW w:w="1134" w:type="dxa"/>
            <w:shd w:val="clear" w:color="000000" w:fill="FFFFCC"/>
            <w:noWrap/>
            <w:vAlign w:val="center"/>
            <w:hideMark/>
          </w:tcPr>
          <w:p w14:paraId="5461152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28/1/2004</w:t>
            </w:r>
          </w:p>
        </w:tc>
        <w:tc>
          <w:tcPr>
            <w:tcW w:w="1989" w:type="dxa"/>
            <w:shd w:val="clear" w:color="000000" w:fill="FFFFCC"/>
            <w:noWrap/>
            <w:vAlign w:val="center"/>
            <w:hideMark/>
          </w:tcPr>
          <w:p w14:paraId="2B74A85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2.78</w:t>
            </w:r>
          </w:p>
        </w:tc>
        <w:tc>
          <w:tcPr>
            <w:tcW w:w="1559" w:type="dxa"/>
            <w:shd w:val="clear" w:color="000000" w:fill="FFFFCC"/>
            <w:noWrap/>
            <w:vAlign w:val="center"/>
            <w:hideMark/>
          </w:tcPr>
          <w:p w14:paraId="356A2C0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2.88</w:t>
            </w:r>
          </w:p>
        </w:tc>
      </w:tr>
      <w:tr w:rsidR="000E2F91" w:rsidRPr="00EC5664" w14:paraId="0F7A8BB4" w14:textId="77777777" w:rsidTr="006A6A27">
        <w:trPr>
          <w:trHeight w:hRule="exact" w:val="318"/>
        </w:trPr>
        <w:tc>
          <w:tcPr>
            <w:tcW w:w="1554" w:type="dxa"/>
            <w:shd w:val="clear" w:color="000000" w:fill="FFFFCC"/>
            <w:noWrap/>
            <w:vAlign w:val="center"/>
            <w:hideMark/>
          </w:tcPr>
          <w:p w14:paraId="01E5BCB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443668</w:t>
            </w:r>
          </w:p>
        </w:tc>
        <w:tc>
          <w:tcPr>
            <w:tcW w:w="851" w:type="dxa"/>
            <w:shd w:val="clear" w:color="000000" w:fill="FFFFCC"/>
            <w:noWrap/>
            <w:vAlign w:val="center"/>
            <w:hideMark/>
          </w:tcPr>
          <w:p w14:paraId="65866EC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FCC"/>
            <w:noWrap/>
            <w:vAlign w:val="center"/>
            <w:hideMark/>
          </w:tcPr>
          <w:p w14:paraId="7153E8F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10586-0417</w:t>
            </w:r>
          </w:p>
        </w:tc>
        <w:tc>
          <w:tcPr>
            <w:tcW w:w="1134" w:type="dxa"/>
            <w:shd w:val="clear" w:color="000000" w:fill="FFFFCC"/>
            <w:noWrap/>
            <w:vAlign w:val="center"/>
            <w:hideMark/>
          </w:tcPr>
          <w:p w14:paraId="3B1DFA9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2/2/2004</w:t>
            </w:r>
          </w:p>
        </w:tc>
        <w:tc>
          <w:tcPr>
            <w:tcW w:w="1989" w:type="dxa"/>
            <w:shd w:val="clear" w:color="000000" w:fill="FFFFCC"/>
            <w:noWrap/>
            <w:vAlign w:val="center"/>
            <w:hideMark/>
          </w:tcPr>
          <w:p w14:paraId="0823543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2.76</w:t>
            </w:r>
          </w:p>
        </w:tc>
        <w:tc>
          <w:tcPr>
            <w:tcW w:w="1559" w:type="dxa"/>
            <w:shd w:val="clear" w:color="000000" w:fill="FFFFCC"/>
            <w:noWrap/>
            <w:vAlign w:val="center"/>
            <w:hideMark/>
          </w:tcPr>
          <w:p w14:paraId="4E618D6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2.86</w:t>
            </w:r>
          </w:p>
        </w:tc>
      </w:tr>
      <w:tr w:rsidR="000E2F91" w:rsidRPr="00EC5664" w14:paraId="75140247" w14:textId="77777777" w:rsidTr="006A6A27">
        <w:trPr>
          <w:trHeight w:hRule="exact" w:val="318"/>
        </w:trPr>
        <w:tc>
          <w:tcPr>
            <w:tcW w:w="1554" w:type="dxa"/>
            <w:shd w:val="clear" w:color="000000" w:fill="FFFFCC"/>
            <w:noWrap/>
            <w:vAlign w:val="center"/>
            <w:hideMark/>
          </w:tcPr>
          <w:p w14:paraId="6B4E1F5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443947</w:t>
            </w:r>
          </w:p>
        </w:tc>
        <w:tc>
          <w:tcPr>
            <w:tcW w:w="851" w:type="dxa"/>
            <w:shd w:val="clear" w:color="000000" w:fill="FFFFCC"/>
            <w:noWrap/>
            <w:vAlign w:val="center"/>
            <w:hideMark/>
          </w:tcPr>
          <w:p w14:paraId="2F15AAE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FFCC"/>
            <w:noWrap/>
            <w:vAlign w:val="center"/>
            <w:hideMark/>
          </w:tcPr>
          <w:p w14:paraId="6D4AD08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10586-0509</w:t>
            </w:r>
          </w:p>
        </w:tc>
        <w:tc>
          <w:tcPr>
            <w:tcW w:w="1134" w:type="dxa"/>
            <w:shd w:val="clear" w:color="000000" w:fill="FFFFCC"/>
            <w:noWrap/>
            <w:vAlign w:val="center"/>
            <w:hideMark/>
          </w:tcPr>
          <w:p w14:paraId="6A2E14F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16/2/2004</w:t>
            </w:r>
          </w:p>
        </w:tc>
        <w:tc>
          <w:tcPr>
            <w:tcW w:w="1989" w:type="dxa"/>
            <w:shd w:val="clear" w:color="000000" w:fill="FFFFCC"/>
            <w:noWrap/>
            <w:vAlign w:val="center"/>
            <w:hideMark/>
          </w:tcPr>
          <w:p w14:paraId="04E65C5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2.76</w:t>
            </w:r>
          </w:p>
        </w:tc>
        <w:tc>
          <w:tcPr>
            <w:tcW w:w="1559" w:type="dxa"/>
            <w:shd w:val="clear" w:color="000000" w:fill="FFFFCC"/>
            <w:noWrap/>
            <w:vAlign w:val="center"/>
            <w:hideMark/>
          </w:tcPr>
          <w:p w14:paraId="1472041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2.86</w:t>
            </w:r>
          </w:p>
        </w:tc>
      </w:tr>
      <w:tr w:rsidR="000E2F91" w:rsidRPr="00EC5664" w14:paraId="43E025AF" w14:textId="77777777" w:rsidTr="006A6A27">
        <w:trPr>
          <w:trHeight w:hRule="exact" w:val="318"/>
        </w:trPr>
        <w:tc>
          <w:tcPr>
            <w:tcW w:w="1554" w:type="dxa"/>
            <w:shd w:val="clear" w:color="000000" w:fill="DEEAF6"/>
            <w:noWrap/>
            <w:vAlign w:val="center"/>
            <w:hideMark/>
          </w:tcPr>
          <w:p w14:paraId="1BA85DC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444617</w:t>
            </w:r>
          </w:p>
        </w:tc>
        <w:tc>
          <w:tcPr>
            <w:tcW w:w="851" w:type="dxa"/>
            <w:shd w:val="clear" w:color="000000" w:fill="DEEAF6"/>
            <w:noWrap/>
            <w:vAlign w:val="center"/>
            <w:hideMark/>
          </w:tcPr>
          <w:p w14:paraId="252231B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DEEAF6"/>
            <w:noWrap/>
            <w:vAlign w:val="center"/>
            <w:hideMark/>
          </w:tcPr>
          <w:p w14:paraId="2BD95F6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10719-0109</w:t>
            </w:r>
          </w:p>
        </w:tc>
        <w:tc>
          <w:tcPr>
            <w:tcW w:w="1134" w:type="dxa"/>
            <w:shd w:val="clear" w:color="000000" w:fill="DEEAF6"/>
            <w:noWrap/>
            <w:vAlign w:val="center"/>
            <w:hideMark/>
          </w:tcPr>
          <w:p w14:paraId="4D2E58F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27/5/2004</w:t>
            </w:r>
          </w:p>
        </w:tc>
        <w:tc>
          <w:tcPr>
            <w:tcW w:w="1989" w:type="dxa"/>
            <w:shd w:val="clear" w:color="000000" w:fill="DEEAF6"/>
            <w:noWrap/>
            <w:vAlign w:val="center"/>
            <w:hideMark/>
          </w:tcPr>
          <w:p w14:paraId="06181EC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c>
          <w:tcPr>
            <w:tcW w:w="1559" w:type="dxa"/>
            <w:shd w:val="clear" w:color="000000" w:fill="DEEAF6"/>
            <w:noWrap/>
            <w:vAlign w:val="center"/>
            <w:hideMark/>
          </w:tcPr>
          <w:p w14:paraId="6661755C"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r>
      <w:tr w:rsidR="000E2F91" w:rsidRPr="00EC5664" w14:paraId="052DA972" w14:textId="77777777" w:rsidTr="006A6A27">
        <w:trPr>
          <w:trHeight w:hRule="exact" w:val="318"/>
        </w:trPr>
        <w:tc>
          <w:tcPr>
            <w:tcW w:w="1554" w:type="dxa"/>
            <w:shd w:val="clear" w:color="000000" w:fill="DEEAF6"/>
            <w:noWrap/>
            <w:vAlign w:val="center"/>
            <w:hideMark/>
          </w:tcPr>
          <w:p w14:paraId="09128D8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445087</w:t>
            </w:r>
          </w:p>
        </w:tc>
        <w:tc>
          <w:tcPr>
            <w:tcW w:w="851" w:type="dxa"/>
            <w:shd w:val="clear" w:color="000000" w:fill="DEEAF6"/>
            <w:noWrap/>
            <w:vAlign w:val="center"/>
            <w:hideMark/>
          </w:tcPr>
          <w:p w14:paraId="27CD5867"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DEEAF6"/>
            <w:noWrap/>
            <w:vAlign w:val="center"/>
            <w:hideMark/>
          </w:tcPr>
          <w:p w14:paraId="0BC53CC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10719-0373</w:t>
            </w:r>
          </w:p>
        </w:tc>
        <w:tc>
          <w:tcPr>
            <w:tcW w:w="1134" w:type="dxa"/>
            <w:shd w:val="clear" w:color="000000" w:fill="DEEAF6"/>
            <w:noWrap/>
            <w:vAlign w:val="center"/>
            <w:hideMark/>
          </w:tcPr>
          <w:p w14:paraId="28B8DA6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16/6/2004</w:t>
            </w:r>
          </w:p>
        </w:tc>
        <w:tc>
          <w:tcPr>
            <w:tcW w:w="1989" w:type="dxa"/>
            <w:shd w:val="clear" w:color="000000" w:fill="DEEAF6"/>
            <w:noWrap/>
            <w:vAlign w:val="center"/>
            <w:hideMark/>
          </w:tcPr>
          <w:p w14:paraId="569FB24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c>
          <w:tcPr>
            <w:tcW w:w="1559" w:type="dxa"/>
            <w:shd w:val="clear" w:color="000000" w:fill="DEEAF6"/>
            <w:noWrap/>
            <w:vAlign w:val="center"/>
            <w:hideMark/>
          </w:tcPr>
          <w:p w14:paraId="478645B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r>
      <w:tr w:rsidR="000E2F91" w:rsidRPr="00EC5664" w14:paraId="6AB6F8DA" w14:textId="77777777" w:rsidTr="006A6A27">
        <w:trPr>
          <w:trHeight w:hRule="exact" w:val="318"/>
        </w:trPr>
        <w:tc>
          <w:tcPr>
            <w:tcW w:w="1554" w:type="dxa"/>
            <w:shd w:val="clear" w:color="000000" w:fill="C6E0B4"/>
            <w:noWrap/>
            <w:vAlign w:val="center"/>
            <w:hideMark/>
          </w:tcPr>
          <w:p w14:paraId="43CA28B8"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445622</w:t>
            </w:r>
          </w:p>
        </w:tc>
        <w:tc>
          <w:tcPr>
            <w:tcW w:w="851" w:type="dxa"/>
            <w:shd w:val="clear" w:color="000000" w:fill="C6E0B4"/>
            <w:noWrap/>
            <w:vAlign w:val="center"/>
            <w:hideMark/>
          </w:tcPr>
          <w:p w14:paraId="3D88FE6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C6E0B4"/>
            <w:noWrap/>
            <w:vAlign w:val="center"/>
            <w:hideMark/>
          </w:tcPr>
          <w:p w14:paraId="4B955E6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10721-0097</w:t>
            </w:r>
          </w:p>
        </w:tc>
        <w:tc>
          <w:tcPr>
            <w:tcW w:w="1134" w:type="dxa"/>
            <w:shd w:val="clear" w:color="000000" w:fill="C6E0B4"/>
            <w:noWrap/>
            <w:vAlign w:val="center"/>
            <w:hideMark/>
          </w:tcPr>
          <w:p w14:paraId="3C54A310"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2/7/2004</w:t>
            </w:r>
          </w:p>
        </w:tc>
        <w:tc>
          <w:tcPr>
            <w:tcW w:w="1989" w:type="dxa"/>
            <w:shd w:val="clear" w:color="000000" w:fill="C6E0B4"/>
            <w:noWrap/>
            <w:vAlign w:val="center"/>
            <w:hideMark/>
          </w:tcPr>
          <w:p w14:paraId="16007561"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2.73</w:t>
            </w:r>
          </w:p>
        </w:tc>
        <w:tc>
          <w:tcPr>
            <w:tcW w:w="1559" w:type="dxa"/>
            <w:shd w:val="clear" w:color="000000" w:fill="C6E0B4"/>
            <w:noWrap/>
            <w:vAlign w:val="center"/>
            <w:hideMark/>
          </w:tcPr>
          <w:p w14:paraId="2AA3D88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2.83</w:t>
            </w:r>
          </w:p>
        </w:tc>
      </w:tr>
      <w:tr w:rsidR="000E2F91" w:rsidRPr="00EC5664" w14:paraId="169FD824" w14:textId="77777777" w:rsidTr="006A6A27">
        <w:trPr>
          <w:trHeight w:hRule="exact" w:val="318"/>
        </w:trPr>
        <w:tc>
          <w:tcPr>
            <w:tcW w:w="1554" w:type="dxa"/>
            <w:shd w:val="clear" w:color="000000" w:fill="FFE699"/>
            <w:noWrap/>
            <w:vAlign w:val="center"/>
            <w:hideMark/>
          </w:tcPr>
          <w:p w14:paraId="0875B16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445828</w:t>
            </w:r>
          </w:p>
        </w:tc>
        <w:tc>
          <w:tcPr>
            <w:tcW w:w="851" w:type="dxa"/>
            <w:shd w:val="clear" w:color="000000" w:fill="FFE699"/>
            <w:noWrap/>
            <w:vAlign w:val="center"/>
            <w:hideMark/>
          </w:tcPr>
          <w:p w14:paraId="262410C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E699"/>
            <w:noWrap/>
            <w:vAlign w:val="center"/>
            <w:hideMark/>
          </w:tcPr>
          <w:p w14:paraId="50A4003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10994-0048</w:t>
            </w:r>
          </w:p>
        </w:tc>
        <w:tc>
          <w:tcPr>
            <w:tcW w:w="1134" w:type="dxa"/>
            <w:shd w:val="clear" w:color="000000" w:fill="FFE699"/>
            <w:noWrap/>
            <w:vAlign w:val="center"/>
            <w:hideMark/>
          </w:tcPr>
          <w:p w14:paraId="3EA88BE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27/12/2004</w:t>
            </w:r>
          </w:p>
        </w:tc>
        <w:tc>
          <w:tcPr>
            <w:tcW w:w="1989" w:type="dxa"/>
            <w:shd w:val="clear" w:color="000000" w:fill="FFE699"/>
            <w:noWrap/>
            <w:vAlign w:val="center"/>
            <w:hideMark/>
          </w:tcPr>
          <w:p w14:paraId="630CF66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2.72</w:t>
            </w:r>
          </w:p>
        </w:tc>
        <w:tc>
          <w:tcPr>
            <w:tcW w:w="1559" w:type="dxa"/>
            <w:shd w:val="clear" w:color="000000" w:fill="FFE699"/>
            <w:noWrap/>
            <w:vAlign w:val="center"/>
            <w:hideMark/>
          </w:tcPr>
          <w:p w14:paraId="035608E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2.82</w:t>
            </w:r>
          </w:p>
        </w:tc>
      </w:tr>
      <w:tr w:rsidR="000E2F91" w:rsidRPr="00EC5664" w14:paraId="70D04780" w14:textId="77777777" w:rsidTr="006A6A27">
        <w:trPr>
          <w:trHeight w:hRule="exact" w:val="318"/>
        </w:trPr>
        <w:tc>
          <w:tcPr>
            <w:tcW w:w="1554" w:type="dxa"/>
            <w:shd w:val="clear" w:color="000000" w:fill="FFE699"/>
            <w:noWrap/>
            <w:vAlign w:val="center"/>
            <w:hideMark/>
          </w:tcPr>
          <w:p w14:paraId="0D33913B"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446447</w:t>
            </w:r>
          </w:p>
        </w:tc>
        <w:tc>
          <w:tcPr>
            <w:tcW w:w="851" w:type="dxa"/>
            <w:shd w:val="clear" w:color="000000" w:fill="FFE699"/>
            <w:noWrap/>
            <w:vAlign w:val="center"/>
            <w:hideMark/>
          </w:tcPr>
          <w:p w14:paraId="0E574819"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FFE699"/>
            <w:noWrap/>
            <w:vAlign w:val="center"/>
            <w:hideMark/>
          </w:tcPr>
          <w:p w14:paraId="45759B62"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10994-0323</w:t>
            </w:r>
          </w:p>
        </w:tc>
        <w:tc>
          <w:tcPr>
            <w:tcW w:w="1134" w:type="dxa"/>
            <w:shd w:val="clear" w:color="000000" w:fill="FFE699"/>
            <w:noWrap/>
            <w:vAlign w:val="center"/>
            <w:hideMark/>
          </w:tcPr>
          <w:p w14:paraId="4BD6D033"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19/1/2005</w:t>
            </w:r>
          </w:p>
        </w:tc>
        <w:tc>
          <w:tcPr>
            <w:tcW w:w="1989" w:type="dxa"/>
            <w:shd w:val="clear" w:color="000000" w:fill="FFE699"/>
            <w:noWrap/>
            <w:vAlign w:val="center"/>
            <w:hideMark/>
          </w:tcPr>
          <w:p w14:paraId="0AFE06F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2.74</w:t>
            </w:r>
          </w:p>
        </w:tc>
        <w:tc>
          <w:tcPr>
            <w:tcW w:w="1559" w:type="dxa"/>
            <w:shd w:val="clear" w:color="000000" w:fill="FFE699"/>
            <w:noWrap/>
            <w:vAlign w:val="center"/>
            <w:hideMark/>
          </w:tcPr>
          <w:p w14:paraId="4E5D6A9F"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2.84</w:t>
            </w:r>
          </w:p>
        </w:tc>
      </w:tr>
      <w:tr w:rsidR="000E2F91" w:rsidRPr="00EC5664" w14:paraId="1308A47D" w14:textId="77777777" w:rsidTr="006A6A27">
        <w:trPr>
          <w:trHeight w:hRule="exact" w:val="318"/>
        </w:trPr>
        <w:tc>
          <w:tcPr>
            <w:tcW w:w="1554" w:type="dxa"/>
            <w:shd w:val="clear" w:color="000000" w:fill="BDD7EE"/>
            <w:noWrap/>
            <w:vAlign w:val="center"/>
            <w:hideMark/>
          </w:tcPr>
          <w:p w14:paraId="0153EF5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447028</w:t>
            </w:r>
          </w:p>
        </w:tc>
        <w:tc>
          <w:tcPr>
            <w:tcW w:w="851" w:type="dxa"/>
            <w:shd w:val="clear" w:color="000000" w:fill="BDD7EE"/>
            <w:noWrap/>
            <w:vAlign w:val="center"/>
            <w:hideMark/>
          </w:tcPr>
          <w:p w14:paraId="0C1291FD"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S15B</w:t>
            </w:r>
          </w:p>
        </w:tc>
        <w:tc>
          <w:tcPr>
            <w:tcW w:w="1701" w:type="dxa"/>
            <w:shd w:val="clear" w:color="000000" w:fill="BDD7EE"/>
            <w:noWrap/>
            <w:vAlign w:val="center"/>
            <w:hideMark/>
          </w:tcPr>
          <w:p w14:paraId="3F774A2A"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10995-0074</w:t>
            </w:r>
          </w:p>
        </w:tc>
        <w:tc>
          <w:tcPr>
            <w:tcW w:w="1134" w:type="dxa"/>
            <w:shd w:val="clear" w:color="000000" w:fill="BDD7EE"/>
            <w:noWrap/>
            <w:vAlign w:val="center"/>
            <w:hideMark/>
          </w:tcPr>
          <w:p w14:paraId="5E64F586"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9/2/2005</w:t>
            </w:r>
          </w:p>
        </w:tc>
        <w:tc>
          <w:tcPr>
            <w:tcW w:w="1989" w:type="dxa"/>
            <w:shd w:val="clear" w:color="000000" w:fill="BDD7EE"/>
            <w:noWrap/>
            <w:vAlign w:val="center"/>
            <w:hideMark/>
          </w:tcPr>
          <w:p w14:paraId="622C0A1E"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2.68</w:t>
            </w:r>
          </w:p>
        </w:tc>
        <w:tc>
          <w:tcPr>
            <w:tcW w:w="1559" w:type="dxa"/>
            <w:shd w:val="clear" w:color="000000" w:fill="BDD7EE"/>
            <w:noWrap/>
            <w:vAlign w:val="center"/>
            <w:hideMark/>
          </w:tcPr>
          <w:p w14:paraId="4E8D0514" w14:textId="77777777" w:rsidR="000E2F91" w:rsidRPr="00EC5664" w:rsidRDefault="000E2F91" w:rsidP="007C590E">
            <w:pPr>
              <w:jc w:val="center"/>
              <w:rPr>
                <w:rFonts w:eastAsia="Times New Roman" w:cs="Times New Roman"/>
                <w:color w:val="000000"/>
                <w:sz w:val="20"/>
                <w:szCs w:val="20"/>
                <w:lang w:eastAsia="en-GB"/>
              </w:rPr>
            </w:pPr>
            <w:r w:rsidRPr="00EC5664">
              <w:rPr>
                <w:rFonts w:eastAsia="Times New Roman" w:cs="Times New Roman"/>
                <w:color w:val="000000"/>
                <w:sz w:val="20"/>
                <w:szCs w:val="20"/>
                <w:lang w:eastAsia="en-GB"/>
              </w:rPr>
              <w:t>2.78</w:t>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66278" w14:paraId="65132F6D" w14:textId="77777777" w:rsidTr="007C590E">
        <w:trPr>
          <w:jc w:val="center"/>
        </w:trPr>
        <w:tc>
          <w:tcPr>
            <w:tcW w:w="9355" w:type="dxa"/>
            <w:vAlign w:val="center"/>
          </w:tcPr>
          <w:p w14:paraId="3DF1172F" w14:textId="402F5441" w:rsidR="00066278" w:rsidRDefault="00202002" w:rsidP="007C590E">
            <w:pPr>
              <w:jc w:val="center"/>
            </w:pPr>
            <w:r>
              <w:rPr>
                <w:noProof/>
              </w:rPr>
              <w:lastRenderedPageBreak/>
              <w:drawing>
                <wp:inline distT="0" distB="0" distL="0" distR="0" wp14:anchorId="72C0062B" wp14:editId="48EA9E88">
                  <wp:extent cx="5521234" cy="4704257"/>
                  <wp:effectExtent l="0" t="0" r="3810" b="1270"/>
                  <wp:docPr id="22" name="Picture 22" descr="Chart, map,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map, scatter chart&#10;&#10;Description automatically generated"/>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522092" cy="470498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3A6ADE9" w14:textId="7C67A8D1" w:rsidR="00157E5A" w:rsidRPr="00157E5A" w:rsidRDefault="00202002" w:rsidP="00157E5A">
      <w:pPr>
        <w:pStyle w:val="Caption"/>
      </w:pPr>
      <w:r w:rsidRPr="00202002">
        <w:t>Figure 8.10. Percentile geochemical maps for K</w:t>
      </w:r>
      <w:r w:rsidRPr="00202002">
        <w:rPr>
          <w:vertAlign w:val="subscript"/>
        </w:rPr>
        <w:t>2</w:t>
      </w:r>
      <w:r w:rsidRPr="00202002">
        <w:t xml:space="preserve">O in stream sediment samples from central and eastern England. The original results are shown </w:t>
      </w:r>
      <w:r w:rsidR="009F2909">
        <w:t>o</w:t>
      </w:r>
      <w:r w:rsidRPr="00202002">
        <w:t>n the top map, the bottom map includes the levelled results. The changes are subtle such as the raising of areas to the next percentile level as shown within the red circle (from Lister and Johnson, 2005, Fig. 39, p.43).</w:t>
      </w:r>
    </w:p>
    <w:p w14:paraId="376A1058" w14:textId="2F518657" w:rsidR="002F6769" w:rsidRPr="00665747" w:rsidRDefault="00CA2457" w:rsidP="002F6769">
      <w:pPr>
        <w:pStyle w:val="Heading3"/>
      </w:pPr>
      <w:bookmarkStart w:id="25" w:name="_Toc92056816"/>
      <w:bookmarkStart w:id="26" w:name="_Toc92056914"/>
      <w:bookmarkStart w:id="27" w:name="_Toc106354230"/>
      <w:r>
        <w:t>8</w:t>
      </w:r>
      <w:r w:rsidR="002F6769">
        <w:t xml:space="preserve">.3.2. </w:t>
      </w:r>
      <w:r w:rsidR="002F6769" w:rsidRPr="006F0D08">
        <w:t xml:space="preserve">Worked Example </w:t>
      </w:r>
      <w:r w:rsidR="002F6769">
        <w:t>2</w:t>
      </w:r>
      <w:r w:rsidR="002F6769" w:rsidRPr="006F0D08">
        <w:t xml:space="preserve">: </w:t>
      </w:r>
      <w:r w:rsidR="002F6769">
        <w:t>L</w:t>
      </w:r>
      <w:r w:rsidR="002F6769" w:rsidRPr="002F6769">
        <w:t>evelling stream sediment results for lanthanum (La) from northern Scotland determined by DC-OES and ICP-MS</w:t>
      </w:r>
      <w:bookmarkEnd w:id="25"/>
      <w:bookmarkEnd w:id="26"/>
      <w:bookmarkEnd w:id="27"/>
    </w:p>
    <w:p w14:paraId="7B01DF80" w14:textId="22EB2F85" w:rsidR="002F6769" w:rsidRDefault="002F6769" w:rsidP="007E66C9">
      <w:pPr>
        <w:pStyle w:val="BodyText"/>
      </w:pPr>
      <w:r w:rsidRPr="007E66C9">
        <w:t xml:space="preserve">Regional geochemical mapping of northern Britain began in 1969 and the analyses of stream sediment samples </w:t>
      </w:r>
      <w:r w:rsidR="009F2909">
        <w:t>were</w:t>
      </w:r>
      <w:r w:rsidRPr="007E66C9">
        <w:t xml:space="preserve"> carried out by </w:t>
      </w:r>
      <w:bookmarkStart w:id="28" w:name="_Hlk92044377"/>
      <w:r w:rsidRPr="007E66C9">
        <w:t xml:space="preserve">direct current optical emission spectroscopy </w:t>
      </w:r>
      <w:bookmarkEnd w:id="28"/>
      <w:r w:rsidRPr="007E66C9">
        <w:t xml:space="preserve">(DC-OES). Lanthanum (La) was not in the original suite of elements analysed though it was added to the analytes determined several years into the project. Some thirty years later, excess material from these original stream sediment samples was analysed by inductively coupled plasma mass spectrometry (ICP-MS) and La was one of the reported analytes. In </w:t>
      </w:r>
      <w:r w:rsidRPr="004902E3">
        <w:t>Fig</w:t>
      </w:r>
      <w:r w:rsidR="00C15122" w:rsidRPr="004902E3">
        <w:t xml:space="preserve">ure </w:t>
      </w:r>
      <w:r w:rsidR="007B23D9" w:rsidRPr="004902E3">
        <w:t>8.</w:t>
      </w:r>
      <w:r w:rsidRPr="004902E3">
        <w:t>1</w:t>
      </w:r>
      <w:r w:rsidR="00B003E7" w:rsidRPr="004902E3">
        <w:t>1</w:t>
      </w:r>
      <w:r w:rsidRPr="004902E3">
        <w:t>, the area of northern Scotland where La in the</w:t>
      </w:r>
      <w:r w:rsidR="00A23EF1" w:rsidRPr="004902E3">
        <w:t xml:space="preserve"> stream sediment</w:t>
      </w:r>
      <w:r w:rsidRPr="004902E3">
        <w:t xml:space="preserve"> samples was determined by ICP-MS is</w:t>
      </w:r>
      <w:r w:rsidRPr="007E66C9">
        <w:t xml:space="preserve"> put into the context of the large area of northern Britain where La was determined by DC-OES.</w:t>
      </w:r>
    </w:p>
    <w:p w14:paraId="478FC932" w14:textId="77777777" w:rsidR="004902E3" w:rsidRPr="007D1437" w:rsidRDefault="004902E3" w:rsidP="004902E3">
      <w:pPr>
        <w:pStyle w:val="Paragraph"/>
      </w:pPr>
      <w:r w:rsidRPr="007D1437">
        <w:t>The results by the ICP-MS method were reported in two discrete laboratory batches, namely Consignment A and Consignment E.</w:t>
      </w:r>
    </w:p>
    <w:p w14:paraId="7226513D" w14:textId="1DE65935" w:rsidR="004902E3" w:rsidRDefault="00757098" w:rsidP="004902E3">
      <w:pPr>
        <w:pStyle w:val="Paragraph"/>
      </w:pPr>
      <w:r>
        <w:t>T</w:t>
      </w:r>
      <w:r w:rsidR="004902E3" w:rsidRPr="007D1437">
        <w:t>o align the ICP-MS data to the existing error-controlled and conditioned DC-OES data, an alternative levelling methodology, using cumulative percentiles was employed.</w:t>
      </w:r>
    </w:p>
    <w:p w14:paraId="43077557" w14:textId="77777777" w:rsidR="004902E3" w:rsidRPr="007D1437" w:rsidRDefault="004902E3" w:rsidP="004902E3">
      <w:pPr>
        <w:pStyle w:val="Paragraph"/>
      </w:pPr>
    </w:p>
    <w:p w14:paraId="102D5EE7" w14:textId="1B3EE456" w:rsidR="004902E3" w:rsidRPr="004902E3" w:rsidRDefault="004902E3" w:rsidP="004902E3">
      <w:pPr>
        <w:pStyle w:val="ListParagraph"/>
        <w:numPr>
          <w:ilvl w:val="0"/>
          <w:numId w:val="35"/>
        </w:numPr>
      </w:pPr>
      <w:r w:rsidRPr="002F6769">
        <w:t xml:space="preserve">The percentiles of existing DC-OES data from the area to the south of the ICP-MS data area were </w:t>
      </w:r>
      <w:r>
        <w:t>estimated</w:t>
      </w:r>
      <w:r w:rsidRPr="002F6769">
        <w:t xml:space="preserve"> for the 5</w:t>
      </w:r>
      <w:r w:rsidRPr="002F6769">
        <w:rPr>
          <w:vertAlign w:val="superscript"/>
        </w:rPr>
        <w:t>th</w:t>
      </w:r>
      <w:r w:rsidRPr="002F6769">
        <w:t>, 10</w:t>
      </w:r>
      <w:r w:rsidRPr="002F6769">
        <w:rPr>
          <w:vertAlign w:val="superscript"/>
        </w:rPr>
        <w:t>th</w:t>
      </w:r>
      <w:r w:rsidRPr="002F6769">
        <w:t>, 20</w:t>
      </w:r>
      <w:r w:rsidRPr="002F6769">
        <w:rPr>
          <w:vertAlign w:val="superscript"/>
        </w:rPr>
        <w:t>th</w:t>
      </w:r>
      <w:r w:rsidRPr="002F6769">
        <w:t>, 30</w:t>
      </w:r>
      <w:r w:rsidRPr="002F6769">
        <w:rPr>
          <w:vertAlign w:val="superscript"/>
        </w:rPr>
        <w:t>th</w:t>
      </w:r>
      <w:r w:rsidRPr="002F6769">
        <w:t>, 40</w:t>
      </w:r>
      <w:r w:rsidRPr="002F6769">
        <w:rPr>
          <w:vertAlign w:val="superscript"/>
        </w:rPr>
        <w:t>th</w:t>
      </w:r>
      <w:r w:rsidRPr="002F6769">
        <w:t>, 50</w:t>
      </w:r>
      <w:r w:rsidRPr="002F6769">
        <w:rPr>
          <w:vertAlign w:val="superscript"/>
        </w:rPr>
        <w:t>th</w:t>
      </w:r>
      <w:r w:rsidRPr="002F6769">
        <w:t>, 60</w:t>
      </w:r>
      <w:r w:rsidRPr="002F6769">
        <w:rPr>
          <w:vertAlign w:val="superscript"/>
        </w:rPr>
        <w:t>th</w:t>
      </w:r>
      <w:r w:rsidRPr="002F6769">
        <w:t>, 70</w:t>
      </w:r>
      <w:r w:rsidRPr="002F6769">
        <w:rPr>
          <w:vertAlign w:val="superscript"/>
        </w:rPr>
        <w:t>th</w:t>
      </w:r>
      <w:r w:rsidRPr="002F6769">
        <w:t>, 80</w:t>
      </w:r>
      <w:r w:rsidRPr="002F6769">
        <w:rPr>
          <w:vertAlign w:val="superscript"/>
        </w:rPr>
        <w:t>th</w:t>
      </w:r>
      <w:r w:rsidRPr="002F6769">
        <w:t>, 90</w:t>
      </w:r>
      <w:r w:rsidRPr="002F6769">
        <w:rPr>
          <w:vertAlign w:val="superscript"/>
        </w:rPr>
        <w:t>th</w:t>
      </w:r>
      <w:r w:rsidRPr="002F6769">
        <w:t xml:space="preserve"> and 95</w:t>
      </w:r>
      <w:r w:rsidRPr="002F6769">
        <w:rPr>
          <w:vertAlign w:val="superscript"/>
        </w:rPr>
        <w:t>th</w:t>
      </w:r>
      <w:r w:rsidRPr="002F6769">
        <w:t xml:space="preserve"> percentiles. These were then plotted against the ICP-MS data for the same percentiles to determine levelling factors based on compar</w:t>
      </w:r>
      <w:r>
        <w:t>a</w:t>
      </w:r>
      <w:r w:rsidRPr="002F6769">
        <w:t xml:space="preserve">tive percentile distributions over like </w:t>
      </w:r>
      <w:r w:rsidRPr="004902E3">
        <w:lastRenderedPageBreak/>
        <w:t xml:space="preserve">lithologies (Everett </w:t>
      </w:r>
      <w:r w:rsidR="00A26595" w:rsidRPr="00A26595">
        <w:rPr>
          <w:i/>
        </w:rPr>
        <w:t>et al.</w:t>
      </w:r>
      <w:r w:rsidRPr="004902E3">
        <w:t>, 2019). This was done independently for data from consignments A and E to give two separate regression equations. This is, therefore, an example of parametric data levelling using percentile values from old (accepted) data and new data to be levelled rather than based on reference material results. The percentile values determined are shown in Table 8.5.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A23EF1" w14:paraId="7D58D8FF" w14:textId="77777777" w:rsidTr="00A23EF1">
        <w:trPr>
          <w:jc w:val="center"/>
        </w:trPr>
        <w:tc>
          <w:tcPr>
            <w:tcW w:w="4677" w:type="dxa"/>
            <w:vAlign w:val="center"/>
          </w:tcPr>
          <w:p w14:paraId="5883437A" w14:textId="77777777" w:rsidR="00A23EF1" w:rsidRDefault="00A23EF1" w:rsidP="007C590E">
            <w:pPr>
              <w:jc w:val="center"/>
              <w:rPr>
                <w:noProof/>
              </w:rPr>
            </w:pPr>
          </w:p>
        </w:tc>
        <w:tc>
          <w:tcPr>
            <w:tcW w:w="4678" w:type="dxa"/>
            <w:vAlign w:val="center"/>
          </w:tcPr>
          <w:p w14:paraId="3EC09675" w14:textId="77777777" w:rsidR="00A23EF1" w:rsidRDefault="00A23EF1" w:rsidP="007C590E">
            <w:pPr>
              <w:jc w:val="center"/>
              <w:rPr>
                <w:noProof/>
              </w:rPr>
            </w:pPr>
          </w:p>
        </w:tc>
      </w:tr>
      <w:tr w:rsidR="00202002" w14:paraId="621B4536" w14:textId="77777777" w:rsidTr="00A23EF1">
        <w:trPr>
          <w:jc w:val="center"/>
        </w:trPr>
        <w:tc>
          <w:tcPr>
            <w:tcW w:w="4677" w:type="dxa"/>
            <w:vAlign w:val="center"/>
          </w:tcPr>
          <w:p w14:paraId="0EDE71D8" w14:textId="77777777" w:rsidR="00202002" w:rsidRDefault="00202002" w:rsidP="007C590E">
            <w:pPr>
              <w:jc w:val="center"/>
            </w:pPr>
            <w:r>
              <w:rPr>
                <w:noProof/>
              </w:rPr>
              <w:drawing>
                <wp:inline distT="0" distB="0" distL="0" distR="0" wp14:anchorId="26AC889A" wp14:editId="5A0CB6D4">
                  <wp:extent cx="2879090" cy="3911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2880000" cy="3912836"/>
                          </a:xfrm>
                          <a:prstGeom prst="rect">
                            <a:avLst/>
                          </a:prstGeom>
                          <a:ln>
                            <a:noFill/>
                          </a:ln>
                          <a:extLst>
                            <a:ext uri="{53640926-AAD7-44D8-BBD7-CCE9431645EC}">
                              <a14:shadowObscured xmlns:a14="http://schemas.microsoft.com/office/drawing/2010/main"/>
                            </a:ext>
                          </a:extLst>
                        </pic:spPr>
                      </pic:pic>
                    </a:graphicData>
                  </a:graphic>
                </wp:inline>
              </w:drawing>
            </w:r>
          </w:p>
        </w:tc>
        <w:tc>
          <w:tcPr>
            <w:tcW w:w="4678" w:type="dxa"/>
            <w:vAlign w:val="center"/>
          </w:tcPr>
          <w:p w14:paraId="06C22BE9" w14:textId="77777777" w:rsidR="00202002" w:rsidRDefault="00202002" w:rsidP="007C590E">
            <w:pPr>
              <w:jc w:val="center"/>
            </w:pPr>
            <w:r>
              <w:rPr>
                <w:noProof/>
              </w:rPr>
              <w:drawing>
                <wp:inline distT="0" distB="0" distL="0" distR="0" wp14:anchorId="7F25B5A4" wp14:editId="31B67BC3">
                  <wp:extent cx="2879725" cy="3915834"/>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2880000" cy="3916208"/>
                          </a:xfrm>
                          <a:prstGeom prst="rect">
                            <a:avLst/>
                          </a:prstGeom>
                          <a:ln>
                            <a:noFill/>
                          </a:ln>
                          <a:extLst>
                            <a:ext uri="{53640926-AAD7-44D8-BBD7-CCE9431645EC}">
                              <a14:shadowObscured xmlns:a14="http://schemas.microsoft.com/office/drawing/2010/main"/>
                            </a:ext>
                          </a:extLst>
                        </pic:spPr>
                      </pic:pic>
                    </a:graphicData>
                  </a:graphic>
                </wp:inline>
              </w:drawing>
            </w:r>
          </w:p>
        </w:tc>
      </w:tr>
      <w:tr w:rsidR="00202002" w:rsidRPr="00690A73" w14:paraId="41347B1B" w14:textId="77777777" w:rsidTr="00A23EF1">
        <w:trPr>
          <w:jc w:val="center"/>
        </w:trPr>
        <w:tc>
          <w:tcPr>
            <w:tcW w:w="4677" w:type="dxa"/>
            <w:vAlign w:val="center"/>
          </w:tcPr>
          <w:p w14:paraId="4B3B11F7" w14:textId="77777777" w:rsidR="00202002" w:rsidRPr="00690A73" w:rsidRDefault="00202002" w:rsidP="007C590E">
            <w:pPr>
              <w:jc w:val="center"/>
              <w:rPr>
                <w:sz w:val="20"/>
                <w:szCs w:val="20"/>
              </w:rPr>
            </w:pPr>
            <w:r w:rsidRPr="00690A73">
              <w:rPr>
                <w:sz w:val="20"/>
                <w:szCs w:val="20"/>
              </w:rPr>
              <w:t>(a)</w:t>
            </w:r>
          </w:p>
        </w:tc>
        <w:tc>
          <w:tcPr>
            <w:tcW w:w="4678" w:type="dxa"/>
            <w:vAlign w:val="center"/>
          </w:tcPr>
          <w:p w14:paraId="342D1968" w14:textId="77777777" w:rsidR="00202002" w:rsidRPr="00690A73" w:rsidRDefault="00202002" w:rsidP="007C590E">
            <w:pPr>
              <w:jc w:val="center"/>
              <w:rPr>
                <w:sz w:val="20"/>
                <w:szCs w:val="20"/>
              </w:rPr>
            </w:pPr>
            <w:r w:rsidRPr="00690A73">
              <w:rPr>
                <w:sz w:val="20"/>
                <w:szCs w:val="20"/>
              </w:rPr>
              <w:t>(b)</w:t>
            </w:r>
          </w:p>
        </w:tc>
      </w:tr>
    </w:tbl>
    <w:p w14:paraId="3D9D332A" w14:textId="04733A06" w:rsidR="00202002" w:rsidRPr="00202002" w:rsidRDefault="00A23EF1" w:rsidP="00A23EF1">
      <w:pPr>
        <w:pStyle w:val="Caption"/>
      </w:pPr>
      <w:r w:rsidRPr="00A23EF1">
        <w:t>Figure 8.11. Map of northern Britain showing the areas where La has been determined in stream sediment</w:t>
      </w:r>
      <w:r>
        <w:t xml:space="preserve"> </w:t>
      </w:r>
      <w:r w:rsidRPr="00A23EF1">
        <w:t>s</w:t>
      </w:r>
      <w:r>
        <w:t>amples</w:t>
      </w:r>
      <w:r w:rsidRPr="00A23EF1">
        <w:t xml:space="preserve"> by different analytical methods with a 30-year time gap (dark shading). </w:t>
      </w:r>
      <w:r w:rsidRPr="009F2909">
        <w:rPr>
          <w:b/>
          <w:bCs w:val="0"/>
        </w:rPr>
        <w:t>(a)</w:t>
      </w:r>
      <w:r w:rsidRPr="00A23EF1">
        <w:t xml:space="preserve"> La </w:t>
      </w:r>
      <w:r w:rsidR="009F2909">
        <w:t xml:space="preserve">was </w:t>
      </w:r>
      <w:r w:rsidRPr="00A23EF1">
        <w:t>determined by DC-OES</w:t>
      </w:r>
      <w:r w:rsidR="00D05552">
        <w:t>,</w:t>
      </w:r>
      <w:r w:rsidRPr="00A23EF1">
        <w:t xml:space="preserve"> and </w:t>
      </w:r>
      <w:r w:rsidRPr="009F2909">
        <w:rPr>
          <w:b/>
          <w:bCs w:val="0"/>
        </w:rPr>
        <w:t>(b)</w:t>
      </w:r>
      <w:r w:rsidRPr="00A23EF1">
        <w:t xml:space="preserve"> La </w:t>
      </w:r>
      <w:r w:rsidR="009F2909">
        <w:t xml:space="preserve">was </w:t>
      </w:r>
      <w:r w:rsidRPr="00A23EF1">
        <w:t>determined by ICP-MS.</w:t>
      </w:r>
    </w:p>
    <w:p w14:paraId="63EDEFC1" w14:textId="1306D688" w:rsidR="004902E3" w:rsidRPr="000B79E8" w:rsidRDefault="004902E3" w:rsidP="004902E3">
      <w:pPr>
        <w:pStyle w:val="Tablecaptions"/>
      </w:pPr>
      <w:r w:rsidRPr="004B1908">
        <w:t xml:space="preserve">Table 8.5. Percentiles </w:t>
      </w:r>
      <w:r w:rsidR="009F2909">
        <w:t xml:space="preserve">were </w:t>
      </w:r>
      <w:r w:rsidRPr="004B1908">
        <w:t xml:space="preserve">calculated for the new ICP-MS La results (consignments A and E) and </w:t>
      </w:r>
      <w:r w:rsidRPr="000B79E8">
        <w:t>the original DC-OES results from northern Britain. Consignments A and E contained 2,822 and 1,824 samples, respectively. The original DC-OES data is for 64,530 samples.</w:t>
      </w:r>
    </w:p>
    <w:tbl>
      <w:tblPr>
        <w:tblW w:w="8080" w:type="dxa"/>
        <w:tblInd w:w="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2400"/>
        <w:gridCol w:w="2400"/>
        <w:gridCol w:w="1589"/>
      </w:tblGrid>
      <w:tr w:rsidR="004902E3" w:rsidRPr="007C4CC9" w14:paraId="3C6AE080" w14:textId="77777777" w:rsidTr="004902E3">
        <w:trPr>
          <w:trHeight w:val="660"/>
        </w:trPr>
        <w:tc>
          <w:tcPr>
            <w:tcW w:w="1691" w:type="dxa"/>
            <w:shd w:val="clear" w:color="auto" w:fill="D9D9D9" w:themeFill="background1" w:themeFillShade="D9"/>
            <w:vAlign w:val="center"/>
            <w:hideMark/>
          </w:tcPr>
          <w:p w14:paraId="3A13A29E" w14:textId="77777777" w:rsidR="004902E3" w:rsidRPr="007C4CC9" w:rsidRDefault="004902E3" w:rsidP="007C590E">
            <w:pPr>
              <w:jc w:val="center"/>
              <w:rPr>
                <w:rFonts w:eastAsia="Times New Roman" w:cs="Times New Roman"/>
                <w:b/>
                <w:i/>
                <w:iCs/>
                <w:color w:val="000000"/>
                <w:sz w:val="20"/>
                <w:szCs w:val="20"/>
                <w:lang w:eastAsia="en-GB"/>
              </w:rPr>
            </w:pPr>
            <w:r w:rsidRPr="007C4CC9">
              <w:rPr>
                <w:rFonts w:eastAsia="Times New Roman" w:cs="Times New Roman"/>
                <w:b/>
                <w:i/>
                <w:iCs/>
                <w:noProof/>
                <w:color w:val="000000"/>
                <w:sz w:val="20"/>
                <w:szCs w:val="20"/>
                <w:lang w:eastAsia="en-GB"/>
              </w:rPr>
              <w:t>Percentile</w:t>
            </w:r>
          </w:p>
        </w:tc>
        <w:tc>
          <w:tcPr>
            <w:tcW w:w="2400" w:type="dxa"/>
            <w:shd w:val="clear" w:color="auto" w:fill="D9D9D9" w:themeFill="background1" w:themeFillShade="D9"/>
            <w:vAlign w:val="center"/>
            <w:hideMark/>
          </w:tcPr>
          <w:p w14:paraId="1E5269A2" w14:textId="77777777" w:rsidR="004902E3" w:rsidRPr="007C4CC9" w:rsidRDefault="004902E3" w:rsidP="007C590E">
            <w:pPr>
              <w:jc w:val="center"/>
              <w:rPr>
                <w:rFonts w:eastAsia="Times New Roman" w:cs="Times New Roman"/>
                <w:b/>
                <w:i/>
                <w:iCs/>
                <w:color w:val="000000"/>
                <w:sz w:val="20"/>
                <w:szCs w:val="20"/>
                <w:lang w:eastAsia="en-GB"/>
              </w:rPr>
            </w:pPr>
            <w:r w:rsidRPr="00101536">
              <w:rPr>
                <w:rFonts w:eastAsia="Times New Roman" w:cs="Times New Roman"/>
                <w:b/>
                <w:i/>
                <w:iCs/>
                <w:noProof/>
                <w:color w:val="0000CC"/>
                <w:sz w:val="20"/>
                <w:szCs w:val="20"/>
                <w:lang w:eastAsia="en-GB"/>
              </w:rPr>
              <w:t>Consignment A               ICP-MS  La (mg/kg)</w:t>
            </w:r>
          </w:p>
        </w:tc>
        <w:tc>
          <w:tcPr>
            <w:tcW w:w="2400" w:type="dxa"/>
            <w:shd w:val="clear" w:color="auto" w:fill="D9D9D9" w:themeFill="background1" w:themeFillShade="D9"/>
            <w:vAlign w:val="center"/>
            <w:hideMark/>
          </w:tcPr>
          <w:p w14:paraId="5AAB2459" w14:textId="77777777" w:rsidR="004902E3" w:rsidRPr="007C4CC9" w:rsidRDefault="004902E3" w:rsidP="007C590E">
            <w:pPr>
              <w:jc w:val="center"/>
              <w:rPr>
                <w:rFonts w:eastAsia="Times New Roman" w:cs="Times New Roman"/>
                <w:b/>
                <w:i/>
                <w:iCs/>
                <w:color w:val="000000"/>
                <w:sz w:val="20"/>
                <w:szCs w:val="20"/>
                <w:lang w:eastAsia="en-GB"/>
              </w:rPr>
            </w:pPr>
            <w:r w:rsidRPr="00AB1762">
              <w:rPr>
                <w:rFonts w:eastAsia="Times New Roman" w:cs="Times New Roman"/>
                <w:b/>
                <w:i/>
                <w:iCs/>
                <w:noProof/>
                <w:color w:val="FF0000"/>
                <w:sz w:val="20"/>
                <w:szCs w:val="20"/>
                <w:lang w:eastAsia="en-GB"/>
              </w:rPr>
              <w:t>Consignment E               ICP-MS  La (mg/kg)</w:t>
            </w:r>
          </w:p>
        </w:tc>
        <w:tc>
          <w:tcPr>
            <w:tcW w:w="1589" w:type="dxa"/>
            <w:shd w:val="clear" w:color="auto" w:fill="D9D9D9" w:themeFill="background1" w:themeFillShade="D9"/>
            <w:vAlign w:val="center"/>
            <w:hideMark/>
          </w:tcPr>
          <w:p w14:paraId="729E4285" w14:textId="77777777" w:rsidR="004902E3" w:rsidRPr="00AB1762" w:rsidRDefault="004902E3" w:rsidP="007C590E">
            <w:pPr>
              <w:jc w:val="center"/>
              <w:rPr>
                <w:rFonts w:eastAsia="Times New Roman" w:cs="Times New Roman"/>
                <w:b/>
                <w:i/>
                <w:iCs/>
                <w:color w:val="0000CC"/>
                <w:sz w:val="20"/>
                <w:szCs w:val="20"/>
                <w:lang w:eastAsia="en-GB"/>
              </w:rPr>
            </w:pPr>
            <w:r w:rsidRPr="00101536">
              <w:rPr>
                <w:rFonts w:eastAsia="Times New Roman" w:cs="Times New Roman"/>
                <w:b/>
                <w:i/>
                <w:iCs/>
                <w:noProof/>
                <w:sz w:val="20"/>
                <w:szCs w:val="20"/>
                <w:lang w:eastAsia="en-GB"/>
              </w:rPr>
              <w:t>DC-OES La (mg/kg)</w:t>
            </w:r>
          </w:p>
        </w:tc>
      </w:tr>
      <w:tr w:rsidR="004902E3" w:rsidRPr="007C4CC9" w14:paraId="384BC0ED" w14:textId="77777777" w:rsidTr="007C590E">
        <w:trPr>
          <w:trHeight w:val="300"/>
        </w:trPr>
        <w:tc>
          <w:tcPr>
            <w:tcW w:w="1691" w:type="dxa"/>
            <w:shd w:val="clear" w:color="auto" w:fill="auto"/>
            <w:vAlign w:val="center"/>
            <w:hideMark/>
          </w:tcPr>
          <w:p w14:paraId="6B3375D3"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w:t>
            </w:r>
          </w:p>
        </w:tc>
        <w:tc>
          <w:tcPr>
            <w:tcW w:w="2400" w:type="dxa"/>
            <w:shd w:val="clear" w:color="auto" w:fill="auto"/>
            <w:vAlign w:val="center"/>
            <w:hideMark/>
          </w:tcPr>
          <w:p w14:paraId="303C0C00"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w:t>
            </w:r>
          </w:p>
        </w:tc>
        <w:tc>
          <w:tcPr>
            <w:tcW w:w="2400" w:type="dxa"/>
            <w:shd w:val="clear" w:color="auto" w:fill="auto"/>
            <w:vAlign w:val="center"/>
            <w:hideMark/>
          </w:tcPr>
          <w:p w14:paraId="0AA528A8"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7</w:t>
            </w:r>
          </w:p>
        </w:tc>
        <w:tc>
          <w:tcPr>
            <w:tcW w:w="1589" w:type="dxa"/>
            <w:shd w:val="clear" w:color="auto" w:fill="auto"/>
            <w:vAlign w:val="center"/>
            <w:hideMark/>
          </w:tcPr>
          <w:p w14:paraId="7D15618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34</w:t>
            </w:r>
          </w:p>
        </w:tc>
      </w:tr>
      <w:tr w:rsidR="004902E3" w:rsidRPr="007C4CC9" w14:paraId="7B74E5F1" w14:textId="77777777" w:rsidTr="007C590E">
        <w:trPr>
          <w:trHeight w:val="300"/>
        </w:trPr>
        <w:tc>
          <w:tcPr>
            <w:tcW w:w="1691" w:type="dxa"/>
            <w:shd w:val="clear" w:color="auto" w:fill="auto"/>
            <w:vAlign w:val="center"/>
            <w:hideMark/>
          </w:tcPr>
          <w:p w14:paraId="4D351D30"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10</w:t>
            </w:r>
          </w:p>
        </w:tc>
        <w:tc>
          <w:tcPr>
            <w:tcW w:w="2400" w:type="dxa"/>
            <w:shd w:val="clear" w:color="auto" w:fill="auto"/>
            <w:vAlign w:val="center"/>
            <w:hideMark/>
          </w:tcPr>
          <w:p w14:paraId="09AD9328"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6</w:t>
            </w:r>
          </w:p>
        </w:tc>
        <w:tc>
          <w:tcPr>
            <w:tcW w:w="2400" w:type="dxa"/>
            <w:shd w:val="clear" w:color="auto" w:fill="auto"/>
            <w:vAlign w:val="center"/>
            <w:hideMark/>
          </w:tcPr>
          <w:p w14:paraId="62F31B67"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9</w:t>
            </w:r>
          </w:p>
        </w:tc>
        <w:tc>
          <w:tcPr>
            <w:tcW w:w="1589" w:type="dxa"/>
            <w:shd w:val="clear" w:color="auto" w:fill="auto"/>
            <w:vAlign w:val="center"/>
            <w:hideMark/>
          </w:tcPr>
          <w:p w14:paraId="236F2F43"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37</w:t>
            </w:r>
          </w:p>
        </w:tc>
      </w:tr>
      <w:tr w:rsidR="004902E3" w:rsidRPr="007C4CC9" w14:paraId="318E761C" w14:textId="77777777" w:rsidTr="007C590E">
        <w:trPr>
          <w:trHeight w:val="300"/>
        </w:trPr>
        <w:tc>
          <w:tcPr>
            <w:tcW w:w="1691" w:type="dxa"/>
            <w:shd w:val="clear" w:color="auto" w:fill="auto"/>
            <w:vAlign w:val="center"/>
            <w:hideMark/>
          </w:tcPr>
          <w:p w14:paraId="4EA64F21"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20</w:t>
            </w:r>
          </w:p>
        </w:tc>
        <w:tc>
          <w:tcPr>
            <w:tcW w:w="2400" w:type="dxa"/>
            <w:shd w:val="clear" w:color="auto" w:fill="auto"/>
            <w:vAlign w:val="center"/>
            <w:hideMark/>
          </w:tcPr>
          <w:p w14:paraId="5D367323"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9</w:t>
            </w:r>
          </w:p>
        </w:tc>
        <w:tc>
          <w:tcPr>
            <w:tcW w:w="2400" w:type="dxa"/>
            <w:shd w:val="clear" w:color="auto" w:fill="auto"/>
            <w:vAlign w:val="center"/>
            <w:hideMark/>
          </w:tcPr>
          <w:p w14:paraId="0CEBF0D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12</w:t>
            </w:r>
          </w:p>
        </w:tc>
        <w:tc>
          <w:tcPr>
            <w:tcW w:w="1589" w:type="dxa"/>
            <w:shd w:val="clear" w:color="auto" w:fill="auto"/>
            <w:vAlign w:val="center"/>
            <w:hideMark/>
          </w:tcPr>
          <w:p w14:paraId="52841E62"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41</w:t>
            </w:r>
          </w:p>
        </w:tc>
      </w:tr>
      <w:tr w:rsidR="004902E3" w:rsidRPr="007C4CC9" w14:paraId="736B5F4A" w14:textId="77777777" w:rsidTr="007C590E">
        <w:trPr>
          <w:trHeight w:val="300"/>
        </w:trPr>
        <w:tc>
          <w:tcPr>
            <w:tcW w:w="1691" w:type="dxa"/>
            <w:shd w:val="clear" w:color="auto" w:fill="auto"/>
            <w:vAlign w:val="center"/>
            <w:hideMark/>
          </w:tcPr>
          <w:p w14:paraId="4155E836"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30</w:t>
            </w:r>
          </w:p>
        </w:tc>
        <w:tc>
          <w:tcPr>
            <w:tcW w:w="2400" w:type="dxa"/>
            <w:shd w:val="clear" w:color="auto" w:fill="auto"/>
            <w:vAlign w:val="center"/>
            <w:hideMark/>
          </w:tcPr>
          <w:p w14:paraId="17BA49D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11</w:t>
            </w:r>
          </w:p>
        </w:tc>
        <w:tc>
          <w:tcPr>
            <w:tcW w:w="2400" w:type="dxa"/>
            <w:shd w:val="clear" w:color="auto" w:fill="auto"/>
            <w:vAlign w:val="center"/>
            <w:hideMark/>
          </w:tcPr>
          <w:p w14:paraId="60B092DA"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15</w:t>
            </w:r>
          </w:p>
        </w:tc>
        <w:tc>
          <w:tcPr>
            <w:tcW w:w="1589" w:type="dxa"/>
            <w:shd w:val="clear" w:color="auto" w:fill="auto"/>
            <w:vAlign w:val="center"/>
            <w:hideMark/>
          </w:tcPr>
          <w:p w14:paraId="70FEA0CA"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44</w:t>
            </w:r>
          </w:p>
        </w:tc>
      </w:tr>
      <w:tr w:rsidR="004902E3" w:rsidRPr="007C4CC9" w14:paraId="6EFCC631" w14:textId="77777777" w:rsidTr="007C590E">
        <w:trPr>
          <w:trHeight w:val="300"/>
        </w:trPr>
        <w:tc>
          <w:tcPr>
            <w:tcW w:w="1691" w:type="dxa"/>
            <w:shd w:val="clear" w:color="auto" w:fill="auto"/>
            <w:vAlign w:val="center"/>
            <w:hideMark/>
          </w:tcPr>
          <w:p w14:paraId="7933881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40</w:t>
            </w:r>
          </w:p>
        </w:tc>
        <w:tc>
          <w:tcPr>
            <w:tcW w:w="2400" w:type="dxa"/>
            <w:shd w:val="clear" w:color="auto" w:fill="auto"/>
            <w:vAlign w:val="center"/>
            <w:hideMark/>
          </w:tcPr>
          <w:p w14:paraId="48F92EC7"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14</w:t>
            </w:r>
          </w:p>
        </w:tc>
        <w:tc>
          <w:tcPr>
            <w:tcW w:w="2400" w:type="dxa"/>
            <w:shd w:val="clear" w:color="auto" w:fill="auto"/>
            <w:vAlign w:val="center"/>
            <w:hideMark/>
          </w:tcPr>
          <w:p w14:paraId="1A846056"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17</w:t>
            </w:r>
          </w:p>
        </w:tc>
        <w:tc>
          <w:tcPr>
            <w:tcW w:w="1589" w:type="dxa"/>
            <w:shd w:val="clear" w:color="auto" w:fill="auto"/>
            <w:vAlign w:val="center"/>
            <w:hideMark/>
          </w:tcPr>
          <w:p w14:paraId="63708720"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45</w:t>
            </w:r>
          </w:p>
        </w:tc>
      </w:tr>
      <w:tr w:rsidR="004902E3" w:rsidRPr="007C4CC9" w14:paraId="48E5CBCD" w14:textId="77777777" w:rsidTr="007C590E">
        <w:trPr>
          <w:trHeight w:val="300"/>
        </w:trPr>
        <w:tc>
          <w:tcPr>
            <w:tcW w:w="1691" w:type="dxa"/>
            <w:shd w:val="clear" w:color="auto" w:fill="auto"/>
            <w:vAlign w:val="center"/>
            <w:hideMark/>
          </w:tcPr>
          <w:p w14:paraId="724C3165"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50</w:t>
            </w:r>
          </w:p>
        </w:tc>
        <w:tc>
          <w:tcPr>
            <w:tcW w:w="2400" w:type="dxa"/>
            <w:shd w:val="clear" w:color="auto" w:fill="auto"/>
            <w:vAlign w:val="center"/>
            <w:hideMark/>
          </w:tcPr>
          <w:p w14:paraId="700FE99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16</w:t>
            </w:r>
          </w:p>
        </w:tc>
        <w:tc>
          <w:tcPr>
            <w:tcW w:w="2400" w:type="dxa"/>
            <w:shd w:val="clear" w:color="auto" w:fill="auto"/>
            <w:vAlign w:val="center"/>
            <w:hideMark/>
          </w:tcPr>
          <w:p w14:paraId="2D8180C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19</w:t>
            </w:r>
          </w:p>
        </w:tc>
        <w:tc>
          <w:tcPr>
            <w:tcW w:w="1589" w:type="dxa"/>
            <w:shd w:val="clear" w:color="auto" w:fill="auto"/>
            <w:vAlign w:val="center"/>
            <w:hideMark/>
          </w:tcPr>
          <w:p w14:paraId="5C3719C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48</w:t>
            </w:r>
          </w:p>
        </w:tc>
      </w:tr>
      <w:tr w:rsidR="004902E3" w:rsidRPr="007C4CC9" w14:paraId="43BFE181" w14:textId="77777777" w:rsidTr="007C590E">
        <w:trPr>
          <w:trHeight w:val="300"/>
        </w:trPr>
        <w:tc>
          <w:tcPr>
            <w:tcW w:w="1691" w:type="dxa"/>
            <w:shd w:val="clear" w:color="auto" w:fill="auto"/>
            <w:vAlign w:val="center"/>
            <w:hideMark/>
          </w:tcPr>
          <w:p w14:paraId="32C85AC1"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60</w:t>
            </w:r>
          </w:p>
        </w:tc>
        <w:tc>
          <w:tcPr>
            <w:tcW w:w="2400" w:type="dxa"/>
            <w:shd w:val="clear" w:color="auto" w:fill="auto"/>
            <w:vAlign w:val="center"/>
            <w:hideMark/>
          </w:tcPr>
          <w:p w14:paraId="4B4E6B70"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19</w:t>
            </w:r>
          </w:p>
        </w:tc>
        <w:tc>
          <w:tcPr>
            <w:tcW w:w="2400" w:type="dxa"/>
            <w:shd w:val="clear" w:color="auto" w:fill="auto"/>
            <w:vAlign w:val="center"/>
            <w:hideMark/>
          </w:tcPr>
          <w:p w14:paraId="1A7C92EA"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21.2</w:t>
            </w:r>
          </w:p>
        </w:tc>
        <w:tc>
          <w:tcPr>
            <w:tcW w:w="1589" w:type="dxa"/>
            <w:shd w:val="clear" w:color="auto" w:fill="auto"/>
            <w:vAlign w:val="center"/>
            <w:hideMark/>
          </w:tcPr>
          <w:p w14:paraId="381CCBB6"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50</w:t>
            </w:r>
          </w:p>
        </w:tc>
      </w:tr>
      <w:tr w:rsidR="004902E3" w:rsidRPr="007C4CC9" w14:paraId="5AD9EC61" w14:textId="77777777" w:rsidTr="007C590E">
        <w:trPr>
          <w:trHeight w:val="300"/>
        </w:trPr>
        <w:tc>
          <w:tcPr>
            <w:tcW w:w="1691" w:type="dxa"/>
            <w:shd w:val="clear" w:color="auto" w:fill="auto"/>
            <w:vAlign w:val="center"/>
            <w:hideMark/>
          </w:tcPr>
          <w:p w14:paraId="333AEA48"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70</w:t>
            </w:r>
          </w:p>
        </w:tc>
        <w:tc>
          <w:tcPr>
            <w:tcW w:w="2400" w:type="dxa"/>
            <w:shd w:val="clear" w:color="auto" w:fill="auto"/>
            <w:vAlign w:val="center"/>
            <w:hideMark/>
          </w:tcPr>
          <w:p w14:paraId="763A8C84"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23</w:t>
            </w:r>
          </w:p>
        </w:tc>
        <w:tc>
          <w:tcPr>
            <w:tcW w:w="2400" w:type="dxa"/>
            <w:shd w:val="clear" w:color="auto" w:fill="auto"/>
            <w:vAlign w:val="center"/>
            <w:hideMark/>
          </w:tcPr>
          <w:p w14:paraId="3F2DA548"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25</w:t>
            </w:r>
          </w:p>
        </w:tc>
        <w:tc>
          <w:tcPr>
            <w:tcW w:w="1589" w:type="dxa"/>
            <w:shd w:val="clear" w:color="auto" w:fill="auto"/>
            <w:vAlign w:val="center"/>
            <w:hideMark/>
          </w:tcPr>
          <w:p w14:paraId="552A826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53</w:t>
            </w:r>
          </w:p>
        </w:tc>
      </w:tr>
      <w:tr w:rsidR="004902E3" w:rsidRPr="007C4CC9" w14:paraId="766B9ED7" w14:textId="77777777" w:rsidTr="007C590E">
        <w:trPr>
          <w:trHeight w:val="300"/>
        </w:trPr>
        <w:tc>
          <w:tcPr>
            <w:tcW w:w="1691" w:type="dxa"/>
            <w:shd w:val="clear" w:color="auto" w:fill="auto"/>
            <w:vAlign w:val="center"/>
            <w:hideMark/>
          </w:tcPr>
          <w:p w14:paraId="754E3734"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80</w:t>
            </w:r>
          </w:p>
        </w:tc>
        <w:tc>
          <w:tcPr>
            <w:tcW w:w="2400" w:type="dxa"/>
            <w:shd w:val="clear" w:color="auto" w:fill="auto"/>
            <w:vAlign w:val="center"/>
            <w:hideMark/>
          </w:tcPr>
          <w:p w14:paraId="54A8AA4B"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30</w:t>
            </w:r>
          </w:p>
        </w:tc>
        <w:tc>
          <w:tcPr>
            <w:tcW w:w="2400" w:type="dxa"/>
            <w:shd w:val="clear" w:color="auto" w:fill="auto"/>
            <w:vAlign w:val="center"/>
            <w:hideMark/>
          </w:tcPr>
          <w:p w14:paraId="6599E85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30</w:t>
            </w:r>
          </w:p>
        </w:tc>
        <w:tc>
          <w:tcPr>
            <w:tcW w:w="1589" w:type="dxa"/>
            <w:shd w:val="clear" w:color="auto" w:fill="auto"/>
            <w:vAlign w:val="center"/>
            <w:hideMark/>
          </w:tcPr>
          <w:p w14:paraId="5C745848"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59</w:t>
            </w:r>
          </w:p>
        </w:tc>
      </w:tr>
      <w:tr w:rsidR="004902E3" w:rsidRPr="007C4CC9" w14:paraId="0B105245" w14:textId="77777777" w:rsidTr="007C590E">
        <w:trPr>
          <w:trHeight w:val="300"/>
        </w:trPr>
        <w:tc>
          <w:tcPr>
            <w:tcW w:w="1691" w:type="dxa"/>
            <w:shd w:val="clear" w:color="auto" w:fill="auto"/>
            <w:vAlign w:val="center"/>
            <w:hideMark/>
          </w:tcPr>
          <w:p w14:paraId="19B99266"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90</w:t>
            </w:r>
          </w:p>
        </w:tc>
        <w:tc>
          <w:tcPr>
            <w:tcW w:w="2400" w:type="dxa"/>
            <w:shd w:val="clear" w:color="auto" w:fill="auto"/>
            <w:vAlign w:val="center"/>
            <w:hideMark/>
          </w:tcPr>
          <w:p w14:paraId="7F3202EE"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41</w:t>
            </w:r>
          </w:p>
        </w:tc>
        <w:tc>
          <w:tcPr>
            <w:tcW w:w="2400" w:type="dxa"/>
            <w:shd w:val="clear" w:color="auto" w:fill="auto"/>
            <w:vAlign w:val="center"/>
            <w:hideMark/>
          </w:tcPr>
          <w:p w14:paraId="3CA7674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43.8</w:t>
            </w:r>
          </w:p>
        </w:tc>
        <w:tc>
          <w:tcPr>
            <w:tcW w:w="1589" w:type="dxa"/>
            <w:shd w:val="clear" w:color="auto" w:fill="auto"/>
            <w:vAlign w:val="center"/>
            <w:hideMark/>
          </w:tcPr>
          <w:p w14:paraId="7D323B0D"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69</w:t>
            </w:r>
          </w:p>
        </w:tc>
      </w:tr>
      <w:tr w:rsidR="004902E3" w:rsidRPr="007C4CC9" w14:paraId="514BB8B5" w14:textId="77777777" w:rsidTr="007C590E">
        <w:trPr>
          <w:trHeight w:val="300"/>
        </w:trPr>
        <w:tc>
          <w:tcPr>
            <w:tcW w:w="1691" w:type="dxa"/>
            <w:shd w:val="clear" w:color="auto" w:fill="auto"/>
            <w:vAlign w:val="center"/>
            <w:hideMark/>
          </w:tcPr>
          <w:p w14:paraId="0C30CDF4"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95</w:t>
            </w:r>
          </w:p>
        </w:tc>
        <w:tc>
          <w:tcPr>
            <w:tcW w:w="2400" w:type="dxa"/>
            <w:shd w:val="clear" w:color="auto" w:fill="auto"/>
            <w:vAlign w:val="center"/>
            <w:hideMark/>
          </w:tcPr>
          <w:p w14:paraId="4759B58C"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59</w:t>
            </w:r>
          </w:p>
        </w:tc>
        <w:tc>
          <w:tcPr>
            <w:tcW w:w="2400" w:type="dxa"/>
            <w:shd w:val="clear" w:color="auto" w:fill="auto"/>
            <w:vAlign w:val="center"/>
            <w:hideMark/>
          </w:tcPr>
          <w:p w14:paraId="5796A6A2"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62.6</w:t>
            </w:r>
          </w:p>
        </w:tc>
        <w:tc>
          <w:tcPr>
            <w:tcW w:w="1589" w:type="dxa"/>
            <w:shd w:val="clear" w:color="auto" w:fill="auto"/>
            <w:vAlign w:val="center"/>
            <w:hideMark/>
          </w:tcPr>
          <w:p w14:paraId="49836879" w14:textId="77777777" w:rsidR="004902E3" w:rsidRPr="007C4CC9" w:rsidRDefault="004902E3" w:rsidP="007C590E">
            <w:pPr>
              <w:jc w:val="center"/>
              <w:rPr>
                <w:rFonts w:eastAsia="Times New Roman" w:cs="Times New Roman"/>
                <w:color w:val="000000"/>
                <w:sz w:val="20"/>
                <w:szCs w:val="20"/>
                <w:lang w:eastAsia="en-GB"/>
              </w:rPr>
            </w:pPr>
            <w:r w:rsidRPr="007C4CC9">
              <w:rPr>
                <w:rFonts w:eastAsia="Times New Roman" w:cs="Times New Roman"/>
                <w:noProof/>
                <w:color w:val="000000"/>
                <w:sz w:val="20"/>
                <w:szCs w:val="20"/>
                <w:lang w:eastAsia="en-GB"/>
              </w:rPr>
              <w:t>79</w:t>
            </w:r>
          </w:p>
        </w:tc>
      </w:tr>
    </w:tbl>
    <w:p w14:paraId="60F9CDEB" w14:textId="77777777" w:rsidR="004902E3" w:rsidRPr="007C4CC9" w:rsidRDefault="004902E3" w:rsidP="004902E3">
      <w:pPr>
        <w:rPr>
          <w:rFonts w:cs="Times New Roman"/>
          <w:sz w:val="20"/>
          <w:szCs w:val="20"/>
        </w:rPr>
      </w:pPr>
    </w:p>
    <w:p w14:paraId="38AD1AF0" w14:textId="591FFE57" w:rsidR="002F6769" w:rsidRPr="00705134" w:rsidRDefault="002F6769" w:rsidP="002F6769">
      <w:pPr>
        <w:pStyle w:val="ListParagraph"/>
        <w:numPr>
          <w:ilvl w:val="0"/>
          <w:numId w:val="35"/>
        </w:numPr>
      </w:pPr>
      <w:r w:rsidRPr="00705134">
        <w:lastRenderedPageBreak/>
        <w:t xml:space="preserve">X-Y plots of the data from Table </w:t>
      </w:r>
      <w:r w:rsidR="007B23D9" w:rsidRPr="00705134">
        <w:t>8.</w:t>
      </w:r>
      <w:r w:rsidR="00506D5D" w:rsidRPr="00705134">
        <w:t>5</w:t>
      </w:r>
      <w:r w:rsidRPr="00705134">
        <w:t xml:space="preserve"> are shown in Fig</w:t>
      </w:r>
      <w:r w:rsidR="006165DB" w:rsidRPr="00705134">
        <w:t xml:space="preserve">ure </w:t>
      </w:r>
      <w:r w:rsidR="007B23D9" w:rsidRPr="00705134">
        <w:t>8.</w:t>
      </w:r>
      <w:r w:rsidRPr="00705134">
        <w:t>1</w:t>
      </w:r>
      <w:r w:rsidR="00B003E7" w:rsidRPr="00705134">
        <w:t>2</w:t>
      </w:r>
      <w:r w:rsidRPr="00705134">
        <w:t xml:space="preserve"> for the ICP-MS consignments A and E (prepared </w:t>
      </w:r>
      <w:r w:rsidR="00E208BE" w:rsidRPr="00705134">
        <w:t xml:space="preserve">initially by </w:t>
      </w:r>
      <w:r w:rsidRPr="00705134">
        <w:t>using MS Excel scatterplot graph option with inserted trend line and equation</w:t>
      </w:r>
      <w:r w:rsidR="00E208BE" w:rsidRPr="00705134">
        <w:t>; the charts were subsequently plotted with Golden Software’s Grapher v20 for this Manual</w:t>
      </w:r>
      <w:r w:rsidRPr="00705134">
        <w:t>). From the regression equations</w:t>
      </w:r>
      <w:r w:rsidR="00E208BE" w:rsidRPr="00705134">
        <w:t>,</w:t>
      </w:r>
      <w:r w:rsidRPr="00705134">
        <w:t xml:space="preserve"> a correction factor </w:t>
      </w:r>
      <w:r w:rsidR="00E208BE" w:rsidRPr="00705134">
        <w:t xml:space="preserve">was calculated </w:t>
      </w:r>
      <w:r w:rsidRPr="00705134">
        <w:t>to level the ICP-MS La results with respect to the DC-OES data.</w:t>
      </w:r>
    </w:p>
    <w:p w14:paraId="63EF37EF" w14:textId="153100E6" w:rsidR="002F6769" w:rsidRPr="00705134" w:rsidRDefault="002F6769" w:rsidP="002F6769">
      <w:pPr>
        <w:pStyle w:val="ListParagraph"/>
        <w:numPr>
          <w:ilvl w:val="0"/>
          <w:numId w:val="35"/>
        </w:numPr>
      </w:pPr>
      <w:r w:rsidRPr="00705134">
        <w:t xml:space="preserve">Where </w:t>
      </w:r>
      <w:r w:rsidR="00E208BE" w:rsidRPr="00705134">
        <w:t>Y</w:t>
      </w:r>
      <w:r w:rsidRPr="00705134">
        <w:t xml:space="preserve"> is the revised La result and </w:t>
      </w:r>
      <w:r w:rsidR="00E208BE" w:rsidRPr="00705134">
        <w:t>X</w:t>
      </w:r>
      <w:r w:rsidRPr="00705134">
        <w:t xml:space="preserve"> is the original ICP-MS, the levelling can be carried out for all the newly determined ICP-MS samples, namely:</w:t>
      </w:r>
    </w:p>
    <w:p w14:paraId="6B41C85A" w14:textId="77777777" w:rsidR="002F6769" w:rsidRPr="000568FA" w:rsidRDefault="002F6769" w:rsidP="002F6769">
      <w:pPr>
        <w:pStyle w:val="ListParagraph"/>
      </w:pPr>
    </w:p>
    <w:p w14:paraId="55B0208D" w14:textId="48155600" w:rsidR="002F6769" w:rsidRPr="00101536" w:rsidRDefault="002F6769" w:rsidP="001B500F">
      <w:pPr>
        <w:ind w:left="720"/>
        <w:jc w:val="center"/>
        <w:rPr>
          <w:rFonts w:cs="Times New Roman"/>
          <w:noProof/>
          <w:color w:val="0000CC"/>
        </w:rPr>
      </w:pPr>
      <w:r w:rsidRPr="00101536">
        <w:rPr>
          <w:rFonts w:cs="Times New Roman"/>
          <w:noProof/>
          <w:color w:val="0000CC"/>
        </w:rPr>
        <w:t xml:space="preserve">Consignment A: </w:t>
      </w:r>
      <w:r w:rsidR="00E208BE" w:rsidRPr="00101536">
        <w:rPr>
          <w:rFonts w:cs="Times New Roman"/>
          <w:noProof/>
          <w:color w:val="0000CC"/>
        </w:rPr>
        <w:t>Y</w:t>
      </w:r>
      <w:r w:rsidRPr="00101536">
        <w:rPr>
          <w:rFonts w:cs="Times New Roman"/>
          <w:noProof/>
          <w:color w:val="0000CC"/>
        </w:rPr>
        <w:t xml:space="preserve"> = 0.8089</w:t>
      </w:r>
      <w:r w:rsidR="00E208BE" w:rsidRPr="00101536">
        <w:rPr>
          <w:rFonts w:cs="Times New Roman"/>
          <w:noProof/>
          <w:color w:val="0000CC"/>
        </w:rPr>
        <w:t>X</w:t>
      </w:r>
      <w:r w:rsidRPr="00101536">
        <w:rPr>
          <w:rFonts w:cs="Times New Roman"/>
          <w:noProof/>
          <w:color w:val="0000CC"/>
        </w:rPr>
        <w:t xml:space="preserve"> + 33.831</w:t>
      </w:r>
    </w:p>
    <w:p w14:paraId="60DDA4CD" w14:textId="0B01C89A" w:rsidR="002F6769" w:rsidRPr="00101536" w:rsidRDefault="002F6769" w:rsidP="001B500F">
      <w:pPr>
        <w:ind w:left="720"/>
        <w:jc w:val="center"/>
        <w:rPr>
          <w:rFonts w:cs="Times New Roman"/>
          <w:noProof/>
          <w:color w:val="FF0000"/>
        </w:rPr>
      </w:pPr>
      <w:r w:rsidRPr="00101536">
        <w:rPr>
          <w:rFonts w:cs="Times New Roman"/>
          <w:noProof/>
          <w:color w:val="FF0000"/>
        </w:rPr>
        <w:t xml:space="preserve">Consignment E: </w:t>
      </w:r>
      <w:r w:rsidR="00E208BE" w:rsidRPr="00101536">
        <w:rPr>
          <w:rFonts w:cs="Times New Roman"/>
          <w:noProof/>
          <w:color w:val="FF0000"/>
        </w:rPr>
        <w:t>Y</w:t>
      </w:r>
      <w:r w:rsidRPr="00101536">
        <w:rPr>
          <w:rFonts w:cs="Times New Roman"/>
          <w:noProof/>
          <w:color w:val="FF0000"/>
        </w:rPr>
        <w:t xml:space="preserve"> = 0.8135</w:t>
      </w:r>
      <w:r w:rsidR="00E208BE" w:rsidRPr="00101536">
        <w:rPr>
          <w:rFonts w:cs="Times New Roman"/>
          <w:noProof/>
          <w:color w:val="FF0000"/>
        </w:rPr>
        <w:t>X</w:t>
      </w:r>
      <w:r w:rsidRPr="00101536">
        <w:rPr>
          <w:rFonts w:cs="Times New Roman"/>
          <w:noProof/>
          <w:color w:val="FF0000"/>
        </w:rPr>
        <w:t xml:space="preserve"> + 31.471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181BE5" w14:paraId="4A5B2A9D" w14:textId="77777777" w:rsidTr="00396077">
        <w:trPr>
          <w:jc w:val="center"/>
        </w:trPr>
        <w:tc>
          <w:tcPr>
            <w:tcW w:w="9355" w:type="dxa"/>
            <w:gridSpan w:val="2"/>
            <w:vAlign w:val="center"/>
          </w:tcPr>
          <w:p w14:paraId="15C53A52" w14:textId="77777777" w:rsidR="00181BE5" w:rsidRDefault="00181BE5" w:rsidP="007C590E">
            <w:pPr>
              <w:jc w:val="center"/>
              <w:rPr>
                <w:noProof/>
              </w:rPr>
            </w:pPr>
          </w:p>
        </w:tc>
      </w:tr>
      <w:tr w:rsidR="001B500F" w14:paraId="2F30B982" w14:textId="77777777" w:rsidTr="00396077">
        <w:trPr>
          <w:jc w:val="center"/>
        </w:trPr>
        <w:tc>
          <w:tcPr>
            <w:tcW w:w="9355" w:type="dxa"/>
            <w:gridSpan w:val="2"/>
            <w:vAlign w:val="center"/>
          </w:tcPr>
          <w:p w14:paraId="7D1F2739" w14:textId="77777777" w:rsidR="001B500F" w:rsidRDefault="001B500F" w:rsidP="007C590E">
            <w:pPr>
              <w:jc w:val="center"/>
              <w:rPr>
                <w:noProof/>
              </w:rPr>
            </w:pPr>
          </w:p>
        </w:tc>
      </w:tr>
      <w:tr w:rsidR="001B500F" w14:paraId="37DF44ED" w14:textId="77777777" w:rsidTr="007C590E">
        <w:trPr>
          <w:jc w:val="center"/>
        </w:trPr>
        <w:tc>
          <w:tcPr>
            <w:tcW w:w="4677" w:type="dxa"/>
            <w:vAlign w:val="center"/>
          </w:tcPr>
          <w:p w14:paraId="7B49772E" w14:textId="1675B268" w:rsidR="001B500F" w:rsidRDefault="001B500F" w:rsidP="007C590E">
            <w:pPr>
              <w:jc w:val="center"/>
            </w:pPr>
            <w:r>
              <w:rPr>
                <w:noProof/>
              </w:rPr>
              <w:drawing>
                <wp:inline distT="0" distB="0" distL="0" distR="0" wp14:anchorId="3C4A071D" wp14:editId="342C8693">
                  <wp:extent cx="2699733" cy="2815156"/>
                  <wp:effectExtent l="0" t="0" r="5715"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2" cstate="print">
                            <a:extLst>
                              <a:ext uri="{28A0092B-C50C-407E-A947-70E740481C1C}">
                                <a14:useLocalDpi xmlns:a14="http://schemas.microsoft.com/office/drawing/2010/main"/>
                              </a:ext>
                            </a:extLst>
                          </a:blip>
                          <a:stretch>
                            <a:fillRect/>
                          </a:stretch>
                        </pic:blipFill>
                        <pic:spPr>
                          <a:xfrm>
                            <a:off x="0" y="0"/>
                            <a:ext cx="2699733" cy="2815156"/>
                          </a:xfrm>
                          <a:prstGeom prst="rect">
                            <a:avLst/>
                          </a:prstGeom>
                        </pic:spPr>
                      </pic:pic>
                    </a:graphicData>
                  </a:graphic>
                </wp:inline>
              </w:drawing>
            </w:r>
          </w:p>
        </w:tc>
        <w:tc>
          <w:tcPr>
            <w:tcW w:w="4678" w:type="dxa"/>
            <w:vAlign w:val="center"/>
          </w:tcPr>
          <w:p w14:paraId="4C6E2070" w14:textId="0B82367D" w:rsidR="001B500F" w:rsidRDefault="001B500F" w:rsidP="007C590E">
            <w:pPr>
              <w:jc w:val="center"/>
            </w:pPr>
            <w:r>
              <w:rPr>
                <w:noProof/>
              </w:rPr>
              <w:drawing>
                <wp:inline distT="0" distB="0" distL="0" distR="0" wp14:anchorId="1D711A86" wp14:editId="742D8DA4">
                  <wp:extent cx="2699734" cy="2815157"/>
                  <wp:effectExtent l="0" t="0" r="571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3" cstate="print">
                            <a:extLst>
                              <a:ext uri="{28A0092B-C50C-407E-A947-70E740481C1C}">
                                <a14:useLocalDpi xmlns:a14="http://schemas.microsoft.com/office/drawing/2010/main"/>
                              </a:ext>
                            </a:extLst>
                          </a:blip>
                          <a:stretch>
                            <a:fillRect/>
                          </a:stretch>
                        </pic:blipFill>
                        <pic:spPr>
                          <a:xfrm>
                            <a:off x="0" y="0"/>
                            <a:ext cx="2699734" cy="2815157"/>
                          </a:xfrm>
                          <a:prstGeom prst="rect">
                            <a:avLst/>
                          </a:prstGeom>
                        </pic:spPr>
                      </pic:pic>
                    </a:graphicData>
                  </a:graphic>
                </wp:inline>
              </w:drawing>
            </w:r>
          </w:p>
        </w:tc>
      </w:tr>
    </w:tbl>
    <w:p w14:paraId="461A2532" w14:textId="483F88D5" w:rsidR="001B500F" w:rsidRPr="001B500F" w:rsidRDefault="001B500F" w:rsidP="001B500F">
      <w:pPr>
        <w:pStyle w:val="Caption"/>
      </w:pPr>
      <w:r w:rsidRPr="001B500F">
        <w:t>Figure 8.12. Regression analysis (X-Y plots) for the two ICP-MS consignments (A &amp; E) comparing percentiles with the original DC-OES results from northern Britain (refer to Table 8.5). The green line indicates the 45</w:t>
      </w:r>
      <w:r w:rsidR="009F2909">
        <w:t>-</w:t>
      </w:r>
      <w:r w:rsidRPr="001B500F">
        <w:t xml:space="preserve">degree (1:1) diagonal, and the blue in </w:t>
      </w:r>
      <w:r w:rsidRPr="00A70F51">
        <w:rPr>
          <w:b/>
          <w:bCs w:val="0"/>
        </w:rPr>
        <w:t>(a)</w:t>
      </w:r>
      <w:r w:rsidRPr="001B500F">
        <w:t xml:space="preserve"> and red in </w:t>
      </w:r>
      <w:r w:rsidRPr="00A70F51">
        <w:rPr>
          <w:b/>
          <w:bCs w:val="0"/>
        </w:rPr>
        <w:t>(b)</w:t>
      </w:r>
      <w:r w:rsidRPr="001B500F">
        <w:t xml:space="preserve"> the fitted linear </w:t>
      </w:r>
      <w:r w:rsidR="00D05552">
        <w:t>regression</w:t>
      </w:r>
      <w:r w:rsidRPr="001B500F">
        <w:t xml:space="preserve"> lines. R is the linear correlation coefficient, and R</w:t>
      </w:r>
      <w:r w:rsidRPr="001B500F">
        <w:rPr>
          <w:vertAlign w:val="superscript"/>
        </w:rPr>
        <w:t>2</w:t>
      </w:r>
      <w:r w:rsidRPr="001B500F">
        <w:t xml:space="preserve"> </w:t>
      </w:r>
      <w:r w:rsidR="009F2909">
        <w:t>is</w:t>
      </w:r>
      <w:r w:rsidRPr="001B500F">
        <w:t xml:space="preserve"> a statistical measure of how close the data are to the fitted regression line. Plotted with Golden Software’s </w:t>
      </w:r>
      <w:proofErr w:type="spellStart"/>
      <w:r w:rsidRPr="001B500F">
        <w:t>Grapher</w:t>
      </w:r>
      <w:r w:rsidRPr="001B500F">
        <w:rPr>
          <w:vertAlign w:val="superscript"/>
        </w:rPr>
        <w:t>TM</w:t>
      </w:r>
      <w:proofErr w:type="spellEnd"/>
      <w:r w:rsidRPr="001B500F">
        <w:t xml:space="preserve"> v20.</w:t>
      </w:r>
    </w:p>
    <w:p w14:paraId="7FFFE238" w14:textId="557F3F56" w:rsidR="00107ACD" w:rsidRPr="00705134" w:rsidRDefault="002F6769" w:rsidP="002F6769">
      <w:pPr>
        <w:pStyle w:val="ListParagraph"/>
        <w:numPr>
          <w:ilvl w:val="0"/>
          <w:numId w:val="35"/>
        </w:numPr>
      </w:pPr>
      <w:r w:rsidRPr="00705134">
        <w:t>The levelled data can be plotted as a seamless geochemical image (Fig</w:t>
      </w:r>
      <w:r w:rsidR="00107ACD" w:rsidRPr="00705134">
        <w:t xml:space="preserve">ure </w:t>
      </w:r>
      <w:r w:rsidR="00E208BE" w:rsidRPr="00705134">
        <w:t>8.</w:t>
      </w:r>
      <w:r w:rsidR="00B003E7" w:rsidRPr="00705134">
        <w:t>13)</w:t>
      </w:r>
      <w:r w:rsidRPr="00705134">
        <w:t xml:space="preserve"> based on cumulative percentiles regressions of the two discrete batches of ICP-MS data against the pre-existing error controlled and conditioned DC-OES data. </w:t>
      </w:r>
    </w:p>
    <w:p w14:paraId="16967D46" w14:textId="77777777" w:rsidR="00107ACD" w:rsidRPr="00705134" w:rsidRDefault="00107ACD" w:rsidP="00157381">
      <w:pPr>
        <w:ind w:left="360"/>
      </w:pPr>
    </w:p>
    <w:p w14:paraId="2650B4E2" w14:textId="6E28688D" w:rsidR="002F6769" w:rsidRPr="00E208BE" w:rsidRDefault="00814BEC" w:rsidP="00157381">
      <w:pPr>
        <w:ind w:firstLine="425"/>
      </w:pPr>
      <w:r w:rsidRPr="00705134">
        <w:t>Th</w:t>
      </w:r>
      <w:r w:rsidR="00E208BE" w:rsidRPr="00705134">
        <w:t>e</w:t>
      </w:r>
      <w:r w:rsidRPr="00705134">
        <w:t xml:space="preserve"> worked examples show a procedure to level data when no adequate control samples are available to use the more straightforward method given in Example 1. In such instances</w:t>
      </w:r>
      <w:r w:rsidR="002627EC" w:rsidRPr="00705134">
        <w:t>,</w:t>
      </w:r>
      <w:r w:rsidRPr="00705134">
        <w:t xml:space="preserve"> it is necessary to try a range of levelling techniques and have a good understanding of the possible constraints associated with the results being merged. The percentile classification in Table </w:t>
      </w:r>
      <w:r w:rsidR="002627EC" w:rsidRPr="00705134">
        <w:t>8.</w:t>
      </w:r>
      <w:r w:rsidR="00506D5D" w:rsidRPr="00705134">
        <w:t>5</w:t>
      </w:r>
      <w:r w:rsidRPr="00705134">
        <w:t xml:space="preserve"> shows the higher concentrations of La resulting from the use of a ‘total’ analytical method (DC-OES) rather than a ‘partial’ method in which the sample requires a digestion process before </w:t>
      </w:r>
      <w:r w:rsidR="006E4D4D">
        <w:t xml:space="preserve">its </w:t>
      </w:r>
      <w:r w:rsidRPr="00705134">
        <w:t xml:space="preserve">determination is done (ICP-MS). Furthermore, the levelling method assumes similar geological constraints on the distribution of La </w:t>
      </w:r>
      <w:r w:rsidR="006E4D4D">
        <w:t xml:space="preserve">on </w:t>
      </w:r>
      <w:r w:rsidRPr="00705134">
        <w:t>either</w:t>
      </w:r>
      <w:r w:rsidR="00A87C52" w:rsidRPr="00705134">
        <w:t xml:space="preserve"> side of the boundary of the</w:t>
      </w:r>
      <w:r w:rsidRPr="00705134">
        <w:t xml:space="preserve"> two sets of data. In this example, the seamless fit achieved across the joining boundary and the close resemblance of the La and uranium (U) geochemical distribution</w:t>
      </w:r>
      <w:r w:rsidR="00EC1331" w:rsidRPr="00705134">
        <w:t xml:space="preserve"> in northern Scotland </w:t>
      </w:r>
      <w:r w:rsidR="00157381" w:rsidRPr="00705134">
        <w:t xml:space="preserve">(Everett </w:t>
      </w:r>
      <w:r w:rsidR="00A26595" w:rsidRPr="00A26595">
        <w:rPr>
          <w:i/>
        </w:rPr>
        <w:t>et al.</w:t>
      </w:r>
      <w:r w:rsidR="00157381" w:rsidRPr="00705134">
        <w:t xml:space="preserve">, 2019) </w:t>
      </w:r>
      <w:r w:rsidR="00EC1331" w:rsidRPr="00705134">
        <w:t>is satisfactory evidence that the levelling procedure was appropriate.</w:t>
      </w:r>
    </w:p>
    <w:p w14:paraId="71CFE280" w14:textId="77777777" w:rsidR="00914A41" w:rsidRPr="00914A41" w:rsidRDefault="00914A41" w:rsidP="00914A41"/>
    <w:p w14:paraId="2C8343F8" w14:textId="77777777" w:rsidR="00914A41" w:rsidRPr="00914A41" w:rsidRDefault="00914A41" w:rsidP="00914A41"/>
    <w:p w14:paraId="4076FE74" w14:textId="77777777" w:rsidR="00914A41" w:rsidRPr="00914A41" w:rsidRDefault="00914A41" w:rsidP="00914A41"/>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914A41" w14:paraId="40FAD334" w14:textId="77777777" w:rsidTr="007C590E">
        <w:trPr>
          <w:jc w:val="center"/>
        </w:trPr>
        <w:tc>
          <w:tcPr>
            <w:tcW w:w="4677" w:type="dxa"/>
            <w:vAlign w:val="center"/>
          </w:tcPr>
          <w:p w14:paraId="4DF4029F" w14:textId="77777777" w:rsidR="00914A41" w:rsidRDefault="00914A41" w:rsidP="007C590E">
            <w:pPr>
              <w:jc w:val="center"/>
            </w:pPr>
            <w:r>
              <w:rPr>
                <w:noProof/>
              </w:rPr>
              <w:lastRenderedPageBreak/>
              <w:drawing>
                <wp:inline distT="0" distB="0" distL="0" distR="0" wp14:anchorId="1C7A4333" wp14:editId="04A3DD88">
                  <wp:extent cx="2980255" cy="391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2980255" cy="3913200"/>
                          </a:xfrm>
                          <a:prstGeom prst="rect">
                            <a:avLst/>
                          </a:prstGeom>
                          <a:ln>
                            <a:noFill/>
                          </a:ln>
                          <a:extLst>
                            <a:ext uri="{53640926-AAD7-44D8-BBD7-CCE9431645EC}">
                              <a14:shadowObscured xmlns:a14="http://schemas.microsoft.com/office/drawing/2010/main"/>
                            </a:ext>
                          </a:extLst>
                        </pic:spPr>
                      </pic:pic>
                    </a:graphicData>
                  </a:graphic>
                </wp:inline>
              </w:drawing>
            </w:r>
          </w:p>
        </w:tc>
        <w:tc>
          <w:tcPr>
            <w:tcW w:w="4678" w:type="dxa"/>
            <w:vAlign w:val="center"/>
          </w:tcPr>
          <w:p w14:paraId="2515661B" w14:textId="77777777" w:rsidR="00914A41" w:rsidRDefault="00914A41" w:rsidP="007C590E">
            <w:pPr>
              <w:jc w:val="center"/>
            </w:pPr>
            <w:r>
              <w:rPr>
                <w:noProof/>
              </w:rPr>
              <w:drawing>
                <wp:inline distT="0" distB="0" distL="0" distR="0" wp14:anchorId="1332E853" wp14:editId="5E111A66">
                  <wp:extent cx="2981082" cy="3913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981082" cy="3913200"/>
                          </a:xfrm>
                          <a:prstGeom prst="rect">
                            <a:avLst/>
                          </a:prstGeom>
                          <a:ln>
                            <a:noFill/>
                          </a:ln>
                          <a:extLst>
                            <a:ext uri="{53640926-AAD7-44D8-BBD7-CCE9431645EC}">
                              <a14:shadowObscured xmlns:a14="http://schemas.microsoft.com/office/drawing/2010/main"/>
                            </a:ext>
                          </a:extLst>
                        </pic:spPr>
                      </pic:pic>
                    </a:graphicData>
                  </a:graphic>
                </wp:inline>
              </w:drawing>
            </w:r>
          </w:p>
        </w:tc>
      </w:tr>
      <w:tr w:rsidR="00914A41" w:rsidRPr="00690A73" w14:paraId="2F2C060C" w14:textId="77777777" w:rsidTr="007C590E">
        <w:trPr>
          <w:jc w:val="center"/>
        </w:trPr>
        <w:tc>
          <w:tcPr>
            <w:tcW w:w="4677" w:type="dxa"/>
            <w:vAlign w:val="center"/>
          </w:tcPr>
          <w:p w14:paraId="718550F9" w14:textId="77777777" w:rsidR="00914A41" w:rsidRPr="00690A73" w:rsidRDefault="00914A41" w:rsidP="007C590E">
            <w:pPr>
              <w:jc w:val="center"/>
              <w:rPr>
                <w:sz w:val="20"/>
                <w:szCs w:val="20"/>
              </w:rPr>
            </w:pPr>
            <w:r w:rsidRPr="00690A73">
              <w:rPr>
                <w:sz w:val="20"/>
                <w:szCs w:val="20"/>
              </w:rPr>
              <w:t>(a)</w:t>
            </w:r>
          </w:p>
        </w:tc>
        <w:tc>
          <w:tcPr>
            <w:tcW w:w="4678" w:type="dxa"/>
            <w:vAlign w:val="center"/>
          </w:tcPr>
          <w:p w14:paraId="22804D8E" w14:textId="77777777" w:rsidR="00914A41" w:rsidRPr="00690A73" w:rsidRDefault="00914A41" w:rsidP="007C590E">
            <w:pPr>
              <w:jc w:val="center"/>
              <w:rPr>
                <w:sz w:val="20"/>
                <w:szCs w:val="20"/>
              </w:rPr>
            </w:pPr>
            <w:r w:rsidRPr="00690A73">
              <w:rPr>
                <w:sz w:val="20"/>
                <w:szCs w:val="20"/>
              </w:rPr>
              <w:t>(b)</w:t>
            </w:r>
          </w:p>
        </w:tc>
      </w:tr>
    </w:tbl>
    <w:p w14:paraId="287E889F" w14:textId="4DDC4919" w:rsidR="00914A41" w:rsidRPr="00914A41" w:rsidRDefault="00914A41" w:rsidP="00914A41">
      <w:pPr>
        <w:pStyle w:val="Caption"/>
      </w:pPr>
      <w:r w:rsidRPr="00914A41">
        <w:t xml:space="preserve">Figure 8.13. Lanthanum in stream sediment samples from northern Britain based on combined data sets from La determined by DC-OES and ICP-MS. Maps with </w:t>
      </w:r>
      <w:r w:rsidRPr="00A70F51">
        <w:rPr>
          <w:b/>
          <w:bCs w:val="0"/>
        </w:rPr>
        <w:t>(a)</w:t>
      </w:r>
      <w:r w:rsidRPr="00914A41">
        <w:t xml:space="preserve"> </w:t>
      </w:r>
      <w:r w:rsidR="00A70F51">
        <w:t>U</w:t>
      </w:r>
      <w:r w:rsidRPr="00914A41">
        <w:t xml:space="preserve">nlevelled ICP-MS La results, and </w:t>
      </w:r>
      <w:r w:rsidRPr="00A70F51">
        <w:rPr>
          <w:b/>
          <w:bCs w:val="0"/>
        </w:rPr>
        <w:t>(b)</w:t>
      </w:r>
      <w:r w:rsidRPr="00914A41">
        <w:t xml:space="preserve"> </w:t>
      </w:r>
      <w:r w:rsidR="00A70F51">
        <w:t>L</w:t>
      </w:r>
      <w:r w:rsidRPr="00914A41">
        <w:t>evelled ICP-MS La results.</w:t>
      </w:r>
    </w:p>
    <w:p w14:paraId="26AB9574" w14:textId="0FF9B198" w:rsidR="00EC1331" w:rsidRDefault="00EC1331" w:rsidP="00FE7033">
      <w:pPr>
        <w:autoSpaceDE w:val="0"/>
        <w:autoSpaceDN w:val="0"/>
        <w:adjustRightInd w:val="0"/>
        <w:ind w:firstLine="425"/>
        <w:rPr>
          <w:rFonts w:cs="Times New Roman"/>
          <w:szCs w:val="24"/>
          <w:lang w:eastAsia="en-GB"/>
        </w:rPr>
      </w:pPr>
      <w:r w:rsidRPr="00C20305">
        <w:t xml:space="preserve">Other levelling procedures are described in Darnley </w:t>
      </w:r>
      <w:r w:rsidR="00A26595" w:rsidRPr="00A26595">
        <w:rPr>
          <w:i/>
        </w:rPr>
        <w:t>et al.</w:t>
      </w:r>
      <w:r w:rsidRPr="00C20305">
        <w:t xml:space="preserve"> </w:t>
      </w:r>
      <w:r w:rsidR="002627EC" w:rsidRPr="00C20305">
        <w:t>(</w:t>
      </w:r>
      <w:r w:rsidRPr="00C20305">
        <w:t>1995</w:t>
      </w:r>
      <w:r w:rsidR="00B45617" w:rsidRPr="00C20305">
        <w:t xml:space="preserve">, </w:t>
      </w:r>
      <w:r w:rsidR="002627EC" w:rsidRPr="00C20305">
        <w:t>S</w:t>
      </w:r>
      <w:r w:rsidR="00B45617" w:rsidRPr="00C20305">
        <w:t xml:space="preserve">ection </w:t>
      </w:r>
      <w:r w:rsidR="002627EC" w:rsidRPr="00C20305">
        <w:rPr>
          <w:rFonts w:cs="Times New Roman"/>
        </w:rPr>
        <w:t>§</w:t>
      </w:r>
      <w:r w:rsidR="00B45617" w:rsidRPr="00C20305">
        <w:t>8.4</w:t>
      </w:r>
      <w:r w:rsidR="002627EC" w:rsidRPr="00C20305">
        <w:t>, p.75-78)</w:t>
      </w:r>
      <w:r w:rsidRPr="00C20305">
        <w:t xml:space="preserve">, and </w:t>
      </w:r>
      <w:r w:rsidRPr="00E208BE">
        <w:t xml:space="preserve">more recently </w:t>
      </w:r>
      <w:r w:rsidR="00B45617" w:rsidRPr="00E208BE">
        <w:t xml:space="preserve">by Amor </w:t>
      </w:r>
      <w:r w:rsidR="00A26595" w:rsidRPr="00A26595">
        <w:rPr>
          <w:i/>
        </w:rPr>
        <w:t>et al.</w:t>
      </w:r>
      <w:r w:rsidR="00B45617" w:rsidRPr="00E208BE">
        <w:t xml:space="preserve"> (2019) in an example using lake-sediments from western Labrador and north</w:t>
      </w:r>
      <w:r w:rsidR="002627EC">
        <w:t>-</w:t>
      </w:r>
      <w:r w:rsidR="00B45617" w:rsidRPr="00E208BE">
        <w:t xml:space="preserve">eastern Québec, Canada. Amor </w:t>
      </w:r>
      <w:r w:rsidR="00A26595" w:rsidRPr="00A26595">
        <w:rPr>
          <w:i/>
        </w:rPr>
        <w:t>et al.</w:t>
      </w:r>
      <w:r w:rsidR="00B45617" w:rsidRPr="00E208BE">
        <w:t xml:space="preserve"> (2019) describe a data set of 21,678 samples with disharmony in the original database arising from analyses employing </w:t>
      </w:r>
      <w:r w:rsidR="006C4CC3" w:rsidRPr="00E208BE">
        <w:t xml:space="preserve">digestions of differing strengths. Nearest-neighbour regression, quantile regression, </w:t>
      </w:r>
      <w:r w:rsidR="009F2909">
        <w:t xml:space="preserve">and </w:t>
      </w:r>
      <w:r w:rsidR="006C4CC3" w:rsidRPr="00E208BE">
        <w:t xml:space="preserve">moving-median smoothing levelling methods are described by Amor </w:t>
      </w:r>
      <w:r w:rsidR="00A26595" w:rsidRPr="00A26595">
        <w:rPr>
          <w:i/>
        </w:rPr>
        <w:t>et al.</w:t>
      </w:r>
      <w:r w:rsidR="006C4CC3" w:rsidRPr="00E208BE">
        <w:t xml:space="preserve"> (2019). </w:t>
      </w:r>
      <w:r w:rsidR="00891A4A" w:rsidRPr="00E208BE">
        <w:t xml:space="preserve">Another detailed example of quantile levelling is given by Daneshfar and Cameron (1998). Here the method is more refined using a weighted regression </w:t>
      </w:r>
      <w:r w:rsidR="00891A4A" w:rsidRPr="00E208BE">
        <w:rPr>
          <w:rFonts w:cs="Times New Roman"/>
          <w:szCs w:val="24"/>
          <w:lang w:eastAsia="en-GB"/>
        </w:rPr>
        <w:t xml:space="preserve">so the outer quantiles, which have the greater error, have less influence in estimating the regression coefficients. </w:t>
      </w:r>
      <w:r w:rsidR="00891A4A" w:rsidRPr="00E208BE">
        <w:t xml:space="preserve">Note </w:t>
      </w:r>
      <w:r w:rsidR="00891A4A" w:rsidRPr="00E208BE">
        <w:rPr>
          <w:szCs w:val="24"/>
        </w:rPr>
        <w:t xml:space="preserve">that </w:t>
      </w:r>
      <w:r w:rsidR="00891A4A" w:rsidRPr="00E208BE">
        <w:rPr>
          <w:rFonts w:cs="Times New Roman"/>
          <w:szCs w:val="24"/>
          <w:lang w:eastAsia="en-GB"/>
        </w:rPr>
        <w:t xml:space="preserve">the quantile is the value corresponding to a given fraction of the data and is an alternative expression for percentile when the result is expressed in fractions. </w:t>
      </w:r>
    </w:p>
    <w:p w14:paraId="424BEAC2" w14:textId="23353506" w:rsidR="00272A6B" w:rsidRPr="00C20305" w:rsidRDefault="004D5FAE" w:rsidP="005A1314">
      <w:pPr>
        <w:autoSpaceDE w:val="0"/>
        <w:autoSpaceDN w:val="0"/>
        <w:adjustRightInd w:val="0"/>
        <w:ind w:firstLine="425"/>
        <w:rPr>
          <w:szCs w:val="24"/>
        </w:rPr>
      </w:pPr>
      <w:r w:rsidRPr="00C20305">
        <w:rPr>
          <w:szCs w:val="24"/>
        </w:rPr>
        <w:t xml:space="preserve">Apart from the normal statistical </w:t>
      </w:r>
      <w:r w:rsidR="00A2596B" w:rsidRPr="00C20305">
        <w:rPr>
          <w:szCs w:val="24"/>
        </w:rPr>
        <w:t xml:space="preserve">levelling </w:t>
      </w:r>
      <w:r w:rsidRPr="00C20305">
        <w:rPr>
          <w:szCs w:val="24"/>
        </w:rPr>
        <w:t xml:space="preserve">methods discussed above, there are two additional methods in the literature, the first using geostatistics and the second the compositional nature of geochemical data. Lark </w:t>
      </w:r>
      <w:r w:rsidR="00A26595" w:rsidRPr="00A26595">
        <w:rPr>
          <w:i/>
          <w:iCs/>
          <w:szCs w:val="24"/>
        </w:rPr>
        <w:t>et al.</w:t>
      </w:r>
      <w:r w:rsidRPr="00C20305">
        <w:rPr>
          <w:szCs w:val="24"/>
        </w:rPr>
        <w:t xml:space="preserve"> (2019) describe a</w:t>
      </w:r>
      <w:r w:rsidR="00272A6B" w:rsidRPr="00C20305">
        <w:rPr>
          <w:szCs w:val="24"/>
        </w:rPr>
        <w:t xml:space="preserve"> multivariate geostatistical model, the linear model of coregionali</w:t>
      </w:r>
      <w:r w:rsidR="00181BE5">
        <w:rPr>
          <w:szCs w:val="24"/>
        </w:rPr>
        <w:t>s</w:t>
      </w:r>
      <w:r w:rsidR="00272A6B" w:rsidRPr="00C20305">
        <w:rPr>
          <w:szCs w:val="24"/>
        </w:rPr>
        <w:t>ation (LMCR), to join</w:t>
      </w:r>
      <w:r w:rsidR="00B237B0" w:rsidRPr="00C20305">
        <w:rPr>
          <w:szCs w:val="24"/>
        </w:rPr>
        <w:t xml:space="preserve"> the</w:t>
      </w:r>
      <w:r w:rsidR="00272A6B" w:rsidRPr="00C20305">
        <w:rPr>
          <w:szCs w:val="24"/>
        </w:rPr>
        <w:t xml:space="preserve"> spatial distribution of two data sets</w:t>
      </w:r>
      <w:r w:rsidR="00E3116F" w:rsidRPr="00C20305">
        <w:rPr>
          <w:szCs w:val="24"/>
        </w:rPr>
        <w:t xml:space="preserve">, namely the </w:t>
      </w:r>
      <w:r w:rsidR="00221528" w:rsidRPr="00C20305">
        <w:rPr>
          <w:szCs w:val="24"/>
        </w:rPr>
        <w:t xml:space="preserve">English </w:t>
      </w:r>
      <w:r w:rsidR="00E3116F" w:rsidRPr="00C20305">
        <w:rPr>
          <w:szCs w:val="24"/>
        </w:rPr>
        <w:t xml:space="preserve">Representative Soil Sampling Scheme </w:t>
      </w:r>
      <w:r w:rsidR="00D43298" w:rsidRPr="00C20305">
        <w:rPr>
          <w:szCs w:val="24"/>
        </w:rPr>
        <w:t xml:space="preserve">with 6620 samples </w:t>
      </w:r>
      <w:r w:rsidR="00E3116F" w:rsidRPr="00C20305">
        <w:rPr>
          <w:szCs w:val="24"/>
        </w:rPr>
        <w:t xml:space="preserve">(Church and Skinner, 1986) and the National Soil Inventory of England and Wales </w:t>
      </w:r>
      <w:r w:rsidR="00D43298" w:rsidRPr="00C20305">
        <w:rPr>
          <w:szCs w:val="24"/>
        </w:rPr>
        <w:t xml:space="preserve">with a total of 5586 samples </w:t>
      </w:r>
      <w:r w:rsidR="00E3116F" w:rsidRPr="00C20305">
        <w:rPr>
          <w:szCs w:val="24"/>
        </w:rPr>
        <w:t>(McGrath and Loveland, 1992).</w:t>
      </w:r>
      <w:r w:rsidR="00D43298" w:rsidRPr="00C20305">
        <w:rPr>
          <w:szCs w:val="24"/>
        </w:rPr>
        <w:t xml:space="preserve"> Williams (2021)</w:t>
      </w:r>
      <w:r w:rsidR="00E3518A" w:rsidRPr="00C20305">
        <w:rPr>
          <w:szCs w:val="24"/>
        </w:rPr>
        <w:t xml:space="preserve"> propose</w:t>
      </w:r>
      <w:r w:rsidR="00221528" w:rsidRPr="00C20305">
        <w:rPr>
          <w:szCs w:val="24"/>
        </w:rPr>
        <w:t>s</w:t>
      </w:r>
      <w:r w:rsidR="00E3518A" w:rsidRPr="00C20305">
        <w:rPr>
          <w:szCs w:val="24"/>
        </w:rPr>
        <w:t xml:space="preserve"> a method for levelling multi-element geochemical data sets by levelling all elements and their covariances, simultaneously across all component map sheets by taking full account of the compositional nature of the data. </w:t>
      </w:r>
      <w:r w:rsidR="00221528" w:rsidRPr="00C20305">
        <w:rPr>
          <w:szCs w:val="24"/>
        </w:rPr>
        <w:t xml:space="preserve">The data sets used were </w:t>
      </w:r>
      <w:r w:rsidR="005A1314" w:rsidRPr="00C20305">
        <w:rPr>
          <w:szCs w:val="24"/>
        </w:rPr>
        <w:t xml:space="preserve">the 28 elements determined </w:t>
      </w:r>
      <w:r w:rsidR="00222A77" w:rsidRPr="00C20305">
        <w:rPr>
          <w:szCs w:val="24"/>
        </w:rPr>
        <w:t xml:space="preserve">by ICP-MS </w:t>
      </w:r>
      <w:r w:rsidR="005A1314" w:rsidRPr="00C20305">
        <w:rPr>
          <w:szCs w:val="24"/>
        </w:rPr>
        <w:t>on 23,517 stream sediment samples</w:t>
      </w:r>
      <w:r w:rsidR="00222A77" w:rsidRPr="00C20305">
        <w:rPr>
          <w:szCs w:val="24"/>
        </w:rPr>
        <w:t xml:space="preserve">, which are located in 34 separate </w:t>
      </w:r>
      <w:r w:rsidR="00221528" w:rsidRPr="00C20305">
        <w:rPr>
          <w:szCs w:val="24"/>
        </w:rPr>
        <w:t xml:space="preserve">Canadian </w:t>
      </w:r>
      <w:r w:rsidR="00222A77" w:rsidRPr="00C20305">
        <w:rPr>
          <w:szCs w:val="24"/>
        </w:rPr>
        <w:t>1:250,000 map sheets (</w:t>
      </w:r>
      <w:r w:rsidR="005A1314" w:rsidRPr="00C20305">
        <w:rPr>
          <w:szCs w:val="24"/>
        </w:rPr>
        <w:t xml:space="preserve">Mackie </w:t>
      </w:r>
      <w:r w:rsidR="00A26595" w:rsidRPr="00A26595">
        <w:rPr>
          <w:i/>
          <w:iCs/>
          <w:szCs w:val="24"/>
        </w:rPr>
        <w:t>et al.</w:t>
      </w:r>
      <w:r w:rsidR="00222A77" w:rsidRPr="00C20305">
        <w:rPr>
          <w:szCs w:val="24"/>
        </w:rPr>
        <w:t xml:space="preserve">, </w:t>
      </w:r>
      <w:r w:rsidR="005A1314" w:rsidRPr="00C20305">
        <w:rPr>
          <w:szCs w:val="24"/>
        </w:rPr>
        <w:t>2017</w:t>
      </w:r>
      <w:r w:rsidR="00221528" w:rsidRPr="00C20305">
        <w:rPr>
          <w:szCs w:val="24"/>
        </w:rPr>
        <w:t>)</w:t>
      </w:r>
      <w:r w:rsidR="00222A77" w:rsidRPr="00C20305">
        <w:rPr>
          <w:szCs w:val="24"/>
        </w:rPr>
        <w:t>.</w:t>
      </w:r>
      <w:r w:rsidR="00221528" w:rsidRPr="00C20305">
        <w:rPr>
          <w:szCs w:val="24"/>
        </w:rPr>
        <w:t xml:space="preserve"> It has been shown that this method is computationally feasible, requiring manageable execution time even for large numbers of elements and large numbers of component surveys.</w:t>
      </w:r>
    </w:p>
    <w:p w14:paraId="6CC79CB6" w14:textId="3572CA9A" w:rsidR="00221528" w:rsidRPr="00C20305" w:rsidRDefault="00221528" w:rsidP="005A1314">
      <w:pPr>
        <w:autoSpaceDE w:val="0"/>
        <w:autoSpaceDN w:val="0"/>
        <w:adjustRightInd w:val="0"/>
        <w:ind w:firstLine="425"/>
        <w:rPr>
          <w:szCs w:val="24"/>
        </w:rPr>
      </w:pPr>
      <w:r w:rsidRPr="00C20305">
        <w:rPr>
          <w:szCs w:val="24"/>
        </w:rPr>
        <w:lastRenderedPageBreak/>
        <w:t xml:space="preserve">Most likely other </w:t>
      </w:r>
      <w:r w:rsidR="005C6563" w:rsidRPr="00C20305">
        <w:rPr>
          <w:szCs w:val="24"/>
        </w:rPr>
        <w:t xml:space="preserve">statistical or geostatistical </w:t>
      </w:r>
      <w:r w:rsidRPr="00C20305">
        <w:rPr>
          <w:szCs w:val="24"/>
        </w:rPr>
        <w:t xml:space="preserve">levelling </w:t>
      </w:r>
      <w:r w:rsidR="005C6563" w:rsidRPr="00C20305">
        <w:rPr>
          <w:szCs w:val="24"/>
        </w:rPr>
        <w:t xml:space="preserve">and normalisation </w:t>
      </w:r>
      <w:r w:rsidRPr="00C20305">
        <w:rPr>
          <w:szCs w:val="24"/>
        </w:rPr>
        <w:t xml:space="preserve">methods </w:t>
      </w:r>
      <w:r w:rsidR="005C6563" w:rsidRPr="00C20305">
        <w:rPr>
          <w:szCs w:val="24"/>
        </w:rPr>
        <w:t xml:space="preserve">of existing data sets </w:t>
      </w:r>
      <w:r w:rsidRPr="00C20305">
        <w:rPr>
          <w:szCs w:val="24"/>
        </w:rPr>
        <w:t>will be published in the future</w:t>
      </w:r>
      <w:r w:rsidR="005C6563" w:rsidRPr="00C20305">
        <w:rPr>
          <w:szCs w:val="24"/>
        </w:rPr>
        <w:t>, and the applied geochemist should be careful</w:t>
      </w:r>
      <w:r w:rsidR="00567830" w:rsidRPr="00C20305">
        <w:rPr>
          <w:szCs w:val="24"/>
        </w:rPr>
        <w:t>,</w:t>
      </w:r>
      <w:r w:rsidR="005C6563" w:rsidRPr="00C20305">
        <w:rPr>
          <w:szCs w:val="24"/>
        </w:rPr>
        <w:t xml:space="preserve"> as pointed </w:t>
      </w:r>
      <w:r w:rsidR="0013448D">
        <w:rPr>
          <w:szCs w:val="24"/>
        </w:rPr>
        <w:t xml:space="preserve">out </w:t>
      </w:r>
      <w:r w:rsidR="005C6563" w:rsidRPr="00C20305">
        <w:rPr>
          <w:szCs w:val="24"/>
        </w:rPr>
        <w:t>by Darn</w:t>
      </w:r>
      <w:r w:rsidR="00567830" w:rsidRPr="00C20305">
        <w:rPr>
          <w:szCs w:val="24"/>
        </w:rPr>
        <w:t>l</w:t>
      </w:r>
      <w:r w:rsidR="005C6563" w:rsidRPr="00C20305">
        <w:rPr>
          <w:szCs w:val="24"/>
        </w:rPr>
        <w:t xml:space="preserve">ey </w:t>
      </w:r>
      <w:r w:rsidR="00A26595" w:rsidRPr="00A26595">
        <w:rPr>
          <w:i/>
          <w:iCs/>
          <w:szCs w:val="24"/>
        </w:rPr>
        <w:t>et al.</w:t>
      </w:r>
      <w:r w:rsidR="005C6563" w:rsidRPr="00C20305">
        <w:rPr>
          <w:szCs w:val="24"/>
        </w:rPr>
        <w:t xml:space="preserve"> (1995, p.75)</w:t>
      </w:r>
      <w:r w:rsidR="00567830" w:rsidRPr="00C20305">
        <w:rPr>
          <w:szCs w:val="24"/>
        </w:rPr>
        <w:t>, that</w:t>
      </w:r>
      <w:r w:rsidR="005C6563" w:rsidRPr="00C20305">
        <w:rPr>
          <w:szCs w:val="24"/>
        </w:rPr>
        <w:t xml:space="preserve"> these are ‘</w:t>
      </w:r>
      <w:r w:rsidR="005C6563" w:rsidRPr="00C20305">
        <w:rPr>
          <w:i/>
          <w:iCs/>
          <w:szCs w:val="24"/>
        </w:rPr>
        <w:t>geochemically blind</w:t>
      </w:r>
      <w:r w:rsidR="005C6563" w:rsidRPr="00C20305">
        <w:rPr>
          <w:szCs w:val="24"/>
        </w:rPr>
        <w:t>’ because they simply manipulate numbers.</w:t>
      </w:r>
    </w:p>
    <w:p w14:paraId="0137FC66" w14:textId="1818CFC9" w:rsidR="00A32BAD" w:rsidRDefault="00CA2457" w:rsidP="00DA227F">
      <w:pPr>
        <w:pStyle w:val="Heading2"/>
      </w:pPr>
      <w:bookmarkStart w:id="29" w:name="_Toc92056817"/>
      <w:bookmarkStart w:id="30" w:name="_Toc92056915"/>
      <w:bookmarkStart w:id="31" w:name="_Toc106354231"/>
      <w:r>
        <w:t>8</w:t>
      </w:r>
      <w:r w:rsidR="00F817A9" w:rsidRPr="00F4380B">
        <w:t>.</w:t>
      </w:r>
      <w:r w:rsidR="00A32BAD">
        <w:t>4</w:t>
      </w:r>
      <w:r w:rsidR="00F817A9" w:rsidRPr="00F4380B">
        <w:t xml:space="preserve">. </w:t>
      </w:r>
      <w:r w:rsidR="00A32BAD" w:rsidRPr="00A32BAD">
        <w:t>Other strategies required to future-proof data over long periods</w:t>
      </w:r>
      <w:bookmarkEnd w:id="29"/>
      <w:bookmarkEnd w:id="30"/>
      <w:bookmarkEnd w:id="31"/>
    </w:p>
    <w:p w14:paraId="5BDA94AB" w14:textId="3D971050" w:rsidR="00A32BAD" w:rsidRDefault="00CA2457" w:rsidP="00A32BAD">
      <w:pPr>
        <w:pStyle w:val="Heading3"/>
      </w:pPr>
      <w:bookmarkStart w:id="32" w:name="_Toc92056818"/>
      <w:bookmarkStart w:id="33" w:name="_Toc92056916"/>
      <w:bookmarkStart w:id="34" w:name="_Toc106354232"/>
      <w:r>
        <w:t>8</w:t>
      </w:r>
      <w:r w:rsidR="00A32BAD">
        <w:t>.4.1. Improved lower detection</w:t>
      </w:r>
      <w:bookmarkEnd w:id="32"/>
      <w:bookmarkEnd w:id="33"/>
      <w:r w:rsidR="00F453DF">
        <w:t xml:space="preserve"> limit</w:t>
      </w:r>
      <w:bookmarkEnd w:id="34"/>
    </w:p>
    <w:p w14:paraId="6B864620" w14:textId="72524463" w:rsidR="00A32BAD" w:rsidRPr="005C53F3" w:rsidRDefault="00A32BAD" w:rsidP="00A32BAD">
      <w:pPr>
        <w:pStyle w:val="BodyText"/>
      </w:pPr>
      <w:r w:rsidRPr="005C53F3">
        <w:t xml:space="preserve">A significant problem in combining geochemical data sets generated several decades apart is dealing with changes </w:t>
      </w:r>
      <w:r w:rsidR="00D53B27">
        <w:t xml:space="preserve">in how </w:t>
      </w:r>
      <w:r w:rsidRPr="005C53F3">
        <w:t xml:space="preserve">missing, semi-quantitative and unreliable results are dealt with (Johnson </w:t>
      </w:r>
      <w:r w:rsidR="00A26595" w:rsidRPr="005C53F3">
        <w:rPr>
          <w:i/>
        </w:rPr>
        <w:t>et al.</w:t>
      </w:r>
      <w:r w:rsidRPr="005C53F3">
        <w:t xml:space="preserve">, 2018). This is particularly the case for the semi-quantitative (‘less than’) reporting of results falling below an analytical method’s lower </w:t>
      </w:r>
      <w:r w:rsidR="00705134" w:rsidRPr="005C53F3">
        <w:t xml:space="preserve">detection </w:t>
      </w:r>
      <w:r w:rsidRPr="005C53F3">
        <w:t>limit (LD</w:t>
      </w:r>
      <w:r w:rsidR="00705134" w:rsidRPr="005C53F3">
        <w:t>L</w:t>
      </w:r>
      <w:r w:rsidRPr="005C53F3">
        <w:t>).</w:t>
      </w:r>
    </w:p>
    <w:p w14:paraId="193D3569" w14:textId="1F3FE874" w:rsidR="00A32BAD" w:rsidRPr="005C53F3" w:rsidRDefault="00A32BAD" w:rsidP="00A32BAD">
      <w:pPr>
        <w:pStyle w:val="Paragraph"/>
      </w:pPr>
      <w:r w:rsidRPr="005C53F3">
        <w:t xml:space="preserve">Firstly, it is important to be aware of the distinction between </w:t>
      </w:r>
      <w:r w:rsidRPr="00FE27BE">
        <w:rPr>
          <w:b/>
          <w:bCs/>
          <w:i/>
          <w:iCs/>
        </w:rPr>
        <w:t>recorded</w:t>
      </w:r>
      <w:r w:rsidRPr="005C53F3">
        <w:t xml:space="preserve"> and </w:t>
      </w:r>
      <w:r w:rsidRPr="00FE27BE">
        <w:rPr>
          <w:b/>
          <w:bCs/>
          <w:i/>
          <w:iCs/>
        </w:rPr>
        <w:t>reported</w:t>
      </w:r>
      <w:r w:rsidRPr="005C53F3">
        <w:t xml:space="preserve"> results (AMC, 2001</w:t>
      </w:r>
      <w:r w:rsidR="004A4E0C" w:rsidRPr="005C53F3">
        <w:t>a, b</w:t>
      </w:r>
      <w:r w:rsidRPr="005C53F3">
        <w:t xml:space="preserve">). </w:t>
      </w:r>
      <w:r w:rsidRPr="00FE27BE">
        <w:rPr>
          <w:b/>
          <w:bCs/>
          <w:i/>
        </w:rPr>
        <w:t>Recording</w:t>
      </w:r>
      <w:r w:rsidRPr="005C53F3">
        <w:t xml:space="preserve"> of results is a listing of the data as produced by the analytical instrument, including negative values and results that may be below the laboratories cited LD</w:t>
      </w:r>
      <w:r w:rsidR="00705134" w:rsidRPr="005C53F3">
        <w:t>L</w:t>
      </w:r>
      <w:r w:rsidRPr="005C53F3">
        <w:t xml:space="preserve"> (uncensored analytical data). The </w:t>
      </w:r>
      <w:r w:rsidRPr="00FE27BE">
        <w:rPr>
          <w:b/>
          <w:bCs/>
          <w:i/>
        </w:rPr>
        <w:t>reporting</w:t>
      </w:r>
      <w:r w:rsidRPr="005C53F3">
        <w:rPr>
          <w:i/>
        </w:rPr>
        <w:t xml:space="preserve"> </w:t>
      </w:r>
      <w:r w:rsidRPr="005C53F3">
        <w:t xml:space="preserve">of results is a contractual matter between the analytical laboratory and the customer receiving the results. </w:t>
      </w:r>
      <w:r w:rsidRPr="00FE27BE">
        <w:rPr>
          <w:i/>
          <w:iCs/>
        </w:rPr>
        <w:t>For example</w:t>
      </w:r>
      <w:r w:rsidRPr="005C53F3">
        <w:t>, the results may be edited by the laboratory, so all recorded results of an element that fall below the cited LD</w:t>
      </w:r>
      <w:r w:rsidR="00677338" w:rsidRPr="005C53F3">
        <w:t>L</w:t>
      </w:r>
      <w:r w:rsidRPr="005C53F3">
        <w:t xml:space="preserve"> are reported as ‘&lt;LD</w:t>
      </w:r>
      <w:r w:rsidR="00677338" w:rsidRPr="005C53F3">
        <w:t>L</w:t>
      </w:r>
      <w:r w:rsidRPr="005C53F3">
        <w:t>’ (censored data</w:t>
      </w:r>
      <w:r w:rsidR="00DD2D59" w:rsidRPr="005C53F3">
        <w:t>), and</w:t>
      </w:r>
      <w:r w:rsidRPr="005C53F3">
        <w:t xml:space="preserve"> if a quantitative value is required for statistical analysis, a value ‘half the LD</w:t>
      </w:r>
      <w:r w:rsidR="00677338" w:rsidRPr="005C53F3">
        <w:t>L</w:t>
      </w:r>
      <w:r w:rsidRPr="005C53F3">
        <w:t xml:space="preserve">’ may be substituted. This introduces a significant </w:t>
      </w:r>
      <w:r w:rsidR="00207281" w:rsidRPr="005C53F3">
        <w:t xml:space="preserve">statistical </w:t>
      </w:r>
      <w:r w:rsidRPr="005C53F3">
        <w:t xml:space="preserve">bias at the lower end of the </w:t>
      </w:r>
      <w:r w:rsidR="00207281" w:rsidRPr="005C53F3">
        <w:t>analyte’s</w:t>
      </w:r>
      <w:r w:rsidRPr="005C53F3">
        <w:t xml:space="preserve"> data distribution. A similar analytical bias is introduced if results are rounded, say to the nearest mg/kg, giving a stepped data distribution. </w:t>
      </w:r>
      <w:r w:rsidRPr="00FE27BE">
        <w:rPr>
          <w:b/>
          <w:bCs/>
        </w:rPr>
        <w:t xml:space="preserve">A geochemical database must comprise entirely of </w:t>
      </w:r>
      <w:r w:rsidRPr="00FE27BE">
        <w:rPr>
          <w:b/>
          <w:bCs/>
          <w:i/>
          <w:iCs/>
        </w:rPr>
        <w:t xml:space="preserve">recorded </w:t>
      </w:r>
      <w:r w:rsidRPr="00FE27BE">
        <w:rPr>
          <w:b/>
          <w:bCs/>
        </w:rPr>
        <w:t>results</w:t>
      </w:r>
      <w:r w:rsidRPr="005C53F3">
        <w:t xml:space="preserve"> and not a mixture of recorded and reported data sets. Sufficient metadata need</w:t>
      </w:r>
      <w:r w:rsidR="006E4D4D">
        <w:t>s</w:t>
      </w:r>
      <w:r w:rsidRPr="005C53F3">
        <w:t xml:space="preserve"> to be attached to the data set so that, over a long period, the derivation of the reported results from the recorded results can be understood, reproduced or even modified. This helps to accommodate improvements to analytical precision, and results from areas produced over different periods may have different LD</w:t>
      </w:r>
      <w:r w:rsidR="00677338" w:rsidRPr="005C53F3">
        <w:t>L</w:t>
      </w:r>
      <w:r w:rsidRPr="005C53F3">
        <w:t>s and methods of representing semi-quantitative data, described in the associated metadata.</w:t>
      </w:r>
    </w:p>
    <w:p w14:paraId="5C36B351" w14:textId="26D0F5C9" w:rsidR="00A32BAD" w:rsidRPr="005C53F3" w:rsidRDefault="00A32BAD" w:rsidP="00A32BAD">
      <w:pPr>
        <w:pStyle w:val="Paragraph"/>
      </w:pPr>
      <w:r w:rsidRPr="005C53F3">
        <w:t>An example from the BGS G-BASE programme is given in Fig</w:t>
      </w:r>
      <w:r w:rsidR="00503C5C" w:rsidRPr="005C53F3">
        <w:t xml:space="preserve">ure </w:t>
      </w:r>
      <w:r w:rsidR="00F84B3C" w:rsidRPr="005C53F3">
        <w:t>8.</w:t>
      </w:r>
      <w:r w:rsidRPr="005C53F3">
        <w:t>1</w:t>
      </w:r>
      <w:r w:rsidR="00E77912" w:rsidRPr="005C53F3">
        <w:t>4</w:t>
      </w:r>
      <w:r w:rsidRPr="005C53F3">
        <w:t xml:space="preserve"> showing how the changes in the analytical method for the determination of Al in stream water samples greatly reduced the analytical bias at the lower concentrations of the Al data distribution</w:t>
      </w:r>
      <w:r w:rsidR="00967F47" w:rsidRPr="00967F47">
        <w:t xml:space="preserve"> (</w:t>
      </w:r>
      <w:r w:rsidR="00967F47">
        <w:t>see other examples in Chapter 7 of this Manual)</w:t>
      </w:r>
      <w:r w:rsidRPr="005C53F3">
        <w:t>. The change from the ICP-AES to ICP-MS analytical method resulted in a more than ten-fold improvement in the LD</w:t>
      </w:r>
      <w:r w:rsidR="005C53F3" w:rsidRPr="005C53F3">
        <w:t>L</w:t>
      </w:r>
      <w:r w:rsidRPr="005C53F3">
        <w:t>. This meant that, over a long time</w:t>
      </w:r>
      <w:r w:rsidR="00967F47">
        <w:t>,</w:t>
      </w:r>
      <w:r w:rsidRPr="005C53F3">
        <w:t xml:space="preserve"> when all the results were put together into a single data set to plot a regional geochemical map, a strategy was required to produce a meanin</w:t>
      </w:r>
      <w:r w:rsidR="001763CF" w:rsidRPr="005C53F3">
        <w:t>gful geochemical image (see Fig</w:t>
      </w:r>
      <w:r w:rsidR="00825BF7" w:rsidRPr="005C53F3">
        <w:t>.</w:t>
      </w:r>
      <w:r w:rsidRPr="005C53F3">
        <w:t xml:space="preserve"> </w:t>
      </w:r>
      <w:r w:rsidR="00825BF7" w:rsidRPr="005C53F3">
        <w:t>8.</w:t>
      </w:r>
      <w:r w:rsidRPr="005C53F3">
        <w:t>1</w:t>
      </w:r>
      <w:r w:rsidR="00E77912" w:rsidRPr="005C53F3">
        <w:t>5</w:t>
      </w:r>
      <w:r w:rsidRPr="005C53F3">
        <w:t xml:space="preserve">). It is not possible to generate a seamless geochemical map for this </w:t>
      </w:r>
      <w:r w:rsidR="00DD2D59" w:rsidRPr="005C53F3">
        <w:t>situation,</w:t>
      </w:r>
      <w:r w:rsidRPr="005C53F3">
        <w:t xml:space="preserve"> but a common percentile classification can be used for the higher Al results. However, the lower (below detection </w:t>
      </w:r>
      <w:r w:rsidR="00825BF7" w:rsidRPr="005C53F3">
        <w:t xml:space="preserve">limit </w:t>
      </w:r>
      <w:r w:rsidRPr="005C53F3">
        <w:t>results) for the ICP-AES method have to be distinguished as a different classification on the map giving a non-seamless but honest representation of the results. The consequence is that the Al stream water results for Wales and northern England cannot be reported with the same high degree of resolution as the results for central and eastern England. A seamless map could be produced by using the poorer ICP-AES LD</w:t>
      </w:r>
      <w:r w:rsidR="005C53F3" w:rsidRPr="005C53F3">
        <w:t>L</w:t>
      </w:r>
      <w:r w:rsidRPr="005C53F3">
        <w:t xml:space="preserve"> for all the data giving a consistent lowest percentile class across the entire region. This would be at the expense of seeing meaningful patterns in the lower end of the Al data distribution in the central and eastern England area</w:t>
      </w:r>
      <w:r w:rsidR="00207281" w:rsidRPr="005C53F3">
        <w:t xml:space="preserve"> and degrading the high</w:t>
      </w:r>
      <w:r w:rsidR="00D53B27">
        <w:t>-</w:t>
      </w:r>
      <w:r w:rsidR="00207281" w:rsidRPr="005C53F3">
        <w:t>quality modern data</w:t>
      </w:r>
      <w:r w:rsidRPr="005C53F3">
        <w:t>.</w:t>
      </w:r>
    </w:p>
    <w:p w14:paraId="398A10C7" w14:textId="345AC55B" w:rsidR="00A32BAD" w:rsidRPr="007D1437" w:rsidRDefault="00A32BAD" w:rsidP="00A32BAD">
      <w:pPr>
        <w:pStyle w:val="Paragraph"/>
      </w:pPr>
      <w:r w:rsidRPr="00864FBB">
        <w:t xml:space="preserve">A similar non-seamless map would be generated using early geochemical results reported with less </w:t>
      </w:r>
      <w:r w:rsidR="00E47511" w:rsidRPr="00864FBB">
        <w:t>resolution</w:t>
      </w:r>
      <w:r w:rsidRPr="00864FBB">
        <w:t xml:space="preserve">, </w:t>
      </w:r>
      <w:r w:rsidRPr="00967F47">
        <w:rPr>
          <w:i/>
          <w:iCs/>
        </w:rPr>
        <w:t>for example</w:t>
      </w:r>
      <w:r w:rsidRPr="00864FBB">
        <w:t xml:space="preserve">, to the nearest mg/kg, and later reported results with better </w:t>
      </w:r>
      <w:r w:rsidR="00E47511" w:rsidRPr="00864FBB">
        <w:t>resolution</w:t>
      </w:r>
      <w:r w:rsidRPr="00864FBB">
        <w:t>, say</w:t>
      </w:r>
      <w:r w:rsidR="00291859">
        <w:t>,</w:t>
      </w:r>
      <w:r w:rsidRPr="00864FBB">
        <w:t xml:space="preserve"> </w:t>
      </w:r>
      <w:r w:rsidRPr="00967F47">
        <w:rPr>
          <w:i/>
          <w:iCs/>
        </w:rPr>
        <w:t>for example</w:t>
      </w:r>
      <w:r w:rsidRPr="00864FBB">
        <w:t xml:space="preserve">, to one or more decimal places. A seamless geochemical map could be generated by reducing </w:t>
      </w:r>
      <w:r w:rsidRPr="007D1437">
        <w:t>the precision of the later data (</w:t>
      </w:r>
      <w:r w:rsidR="00A26595" w:rsidRPr="00A26595">
        <w:rPr>
          <w:i/>
          <w:iCs/>
        </w:rPr>
        <w:t>i.e.</w:t>
      </w:r>
      <w:r w:rsidRPr="007D1437">
        <w:t xml:space="preserve">, rounding to 0 decimal places) but again this would result in the loss of recognition of meaningful element distributions. Alternatively, without any degradation of the data set with better precision, </w:t>
      </w:r>
      <w:r w:rsidR="00D53B27">
        <w:t xml:space="preserve">a </w:t>
      </w:r>
      <w:r w:rsidRPr="007D1437">
        <w:t xml:space="preserve">careful choice of </w:t>
      </w:r>
      <w:r w:rsidRPr="007D1437">
        <w:lastRenderedPageBreak/>
        <w:t>percentile class thresholds can be used to minimise the effect of the ‘stepped’ data generated from the older and poorer analytical methodology.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63CA" w14:paraId="4251788F" w14:textId="77777777" w:rsidTr="00677338">
        <w:trPr>
          <w:jc w:val="center"/>
        </w:trPr>
        <w:tc>
          <w:tcPr>
            <w:tcW w:w="9345" w:type="dxa"/>
            <w:vAlign w:val="center"/>
          </w:tcPr>
          <w:p w14:paraId="170F558B" w14:textId="77777777" w:rsidR="00BE63CA" w:rsidRDefault="00BE63CA" w:rsidP="00677338">
            <w:pPr>
              <w:jc w:val="center"/>
            </w:pPr>
          </w:p>
        </w:tc>
      </w:tr>
      <w:tr w:rsidR="00677338" w14:paraId="26DDF4BB" w14:textId="77777777" w:rsidTr="00677338">
        <w:trPr>
          <w:jc w:val="center"/>
        </w:trPr>
        <w:tc>
          <w:tcPr>
            <w:tcW w:w="9345" w:type="dxa"/>
            <w:vAlign w:val="center"/>
          </w:tcPr>
          <w:p w14:paraId="6486EA78" w14:textId="77777777" w:rsidR="00677338" w:rsidRDefault="00677338" w:rsidP="00677338">
            <w:pPr>
              <w:jc w:val="center"/>
            </w:pPr>
          </w:p>
        </w:tc>
      </w:tr>
      <w:tr w:rsidR="00677338" w14:paraId="766C6146" w14:textId="77777777" w:rsidTr="00677338">
        <w:trPr>
          <w:jc w:val="center"/>
        </w:trPr>
        <w:tc>
          <w:tcPr>
            <w:tcW w:w="9345" w:type="dxa"/>
            <w:vAlign w:val="center"/>
          </w:tcPr>
          <w:p w14:paraId="2C027C6E" w14:textId="075C8C80" w:rsidR="00677338" w:rsidRDefault="00BE63CA" w:rsidP="00677338">
            <w:pPr>
              <w:jc w:val="center"/>
            </w:pPr>
            <w:r>
              <w:rPr>
                <w:noProof/>
              </w:rPr>
              <w:drawing>
                <wp:inline distT="0" distB="0" distL="0" distR="0" wp14:anchorId="0486ADDF" wp14:editId="28E51974">
                  <wp:extent cx="5692088" cy="4680000"/>
                  <wp:effectExtent l="0" t="0" r="4445" b="635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92088" cy="46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54987DB" w14:textId="277B8811" w:rsidR="00677338" w:rsidRDefault="00BE63CA" w:rsidP="00BE63CA">
      <w:pPr>
        <w:pStyle w:val="Caption"/>
      </w:pPr>
      <w:r w:rsidRPr="00BE63CA">
        <w:t>Figure 8.14. Cumulative probability plot indicating true detection limits for samples determined by two different analytical methods. Such plots can demonstrate that the real detection limits (</w:t>
      </w:r>
      <w:r w:rsidR="00A26595" w:rsidRPr="00A26595">
        <w:t>i.e.</w:t>
      </w:r>
      <w:r w:rsidRPr="00BE63CA">
        <w:t xml:space="preserve">, the point at the lower end of the cumulative distribution curve where the curve becomes horizontal) are often much lower than those cited by the analyst (the cited detection limits are marked on the plot). </w:t>
      </w:r>
      <w:r w:rsidR="0062177C">
        <w:t>Recorded d</w:t>
      </w:r>
      <w:r w:rsidRPr="00BE63CA">
        <w:t xml:space="preserve">ata for 10,000 samples from part of central and eastern England (from Johnson </w:t>
      </w:r>
      <w:r w:rsidR="00A26595" w:rsidRPr="00A26595">
        <w:t>et al.</w:t>
      </w:r>
      <w:r w:rsidRPr="00BE63CA">
        <w:t>, 2018, Fig. 5.5, p.88).</w:t>
      </w:r>
    </w:p>
    <w:p w14:paraId="00B280C8" w14:textId="0DDE232B" w:rsidR="00A32BAD" w:rsidRDefault="00A32BAD" w:rsidP="00A32BAD">
      <w:pPr>
        <w:pStyle w:val="Paragraph"/>
      </w:pPr>
      <w:r w:rsidRPr="00883742">
        <w:t>It should also be noted here that the analysts generally report more conservative LD</w:t>
      </w:r>
      <w:r w:rsidR="00883742" w:rsidRPr="00883742">
        <w:t>L</w:t>
      </w:r>
      <w:r w:rsidRPr="00883742">
        <w:t>s than the real LD</w:t>
      </w:r>
      <w:r w:rsidR="00DD72F3" w:rsidRPr="00883742">
        <w:t>L</w:t>
      </w:r>
      <w:r w:rsidRPr="00883742">
        <w:t xml:space="preserve">s that can be determined from the distribution </w:t>
      </w:r>
      <w:r w:rsidR="004A4E0C" w:rsidRPr="00883742">
        <w:t>plots or</w:t>
      </w:r>
      <w:r w:rsidRPr="00883742">
        <w:t xml:space="preserve"> estimated as the practical detection limit (see Chapter </w:t>
      </w:r>
      <w:r w:rsidR="00296802" w:rsidRPr="00883742">
        <w:t>7</w:t>
      </w:r>
      <w:r w:rsidRPr="00883742">
        <w:t xml:space="preserve"> of this </w:t>
      </w:r>
      <w:r w:rsidR="00913E67" w:rsidRPr="00883742">
        <w:t>M</w:t>
      </w:r>
      <w:r w:rsidRPr="00883742">
        <w:t>anual).</w:t>
      </w:r>
      <w:r w:rsidR="00D60196" w:rsidRPr="00883742">
        <w:t xml:space="preserve"> </w:t>
      </w:r>
      <w:r w:rsidRPr="00883742">
        <w:t>From the cumulative probability plot shown in Fig</w:t>
      </w:r>
      <w:r w:rsidR="00D60196" w:rsidRPr="00883742">
        <w:t xml:space="preserve">ure </w:t>
      </w:r>
      <w:r w:rsidR="00296802" w:rsidRPr="00883742">
        <w:t>8.</w:t>
      </w:r>
      <w:r w:rsidRPr="00883742">
        <w:t>1</w:t>
      </w:r>
      <w:r w:rsidR="00E77912" w:rsidRPr="00883742">
        <w:t>4</w:t>
      </w:r>
      <w:r w:rsidR="00F37A89">
        <w:t>,</w:t>
      </w:r>
      <w:r w:rsidRPr="00883742">
        <w:t xml:space="preserve"> the real LD</w:t>
      </w:r>
      <w:r w:rsidR="00883742" w:rsidRPr="00883742">
        <w:t>L</w:t>
      </w:r>
      <w:r w:rsidRPr="00883742">
        <w:t xml:space="preserve"> for the two analytical methods is the point where the lower end of the curves becomes </w:t>
      </w:r>
      <w:r w:rsidR="00DD2D59" w:rsidRPr="00883742">
        <w:t>flat,</w:t>
      </w:r>
      <w:r w:rsidRPr="00883742">
        <w:t xml:space="preserve"> and the data distribution is truncated. Figure </w:t>
      </w:r>
      <w:r w:rsidR="00296802" w:rsidRPr="00883742">
        <w:t>8.</w:t>
      </w:r>
      <w:r w:rsidRPr="00883742">
        <w:t>1</w:t>
      </w:r>
      <w:r w:rsidR="00E77912" w:rsidRPr="00883742">
        <w:t>4</w:t>
      </w:r>
      <w:r w:rsidRPr="00883742">
        <w:t xml:space="preserve"> shows </w:t>
      </w:r>
      <w:r w:rsidR="00F37A89">
        <w:t xml:space="preserve">that </w:t>
      </w:r>
      <w:r w:rsidRPr="00883742">
        <w:t xml:space="preserve">there is </w:t>
      </w:r>
      <w:r w:rsidR="00F37A89">
        <w:t xml:space="preserve">a </w:t>
      </w:r>
      <w:r w:rsidRPr="00883742">
        <w:t>significant structure to be found in the results reported between the cited LD</w:t>
      </w:r>
      <w:r w:rsidR="00883742" w:rsidRPr="00883742">
        <w:t>L</w:t>
      </w:r>
      <w:r w:rsidRPr="00883742">
        <w:t xml:space="preserve"> and the real LD</w:t>
      </w:r>
      <w:r w:rsidR="00883742" w:rsidRPr="00883742">
        <w:t>L</w:t>
      </w:r>
      <w:r w:rsidRPr="00883742">
        <w:t xml:space="preserve"> and this emphasises the importance of using the </w:t>
      </w:r>
      <w:r w:rsidRPr="0062177C">
        <w:rPr>
          <w:b/>
          <w:bCs/>
          <w:i/>
          <w:iCs/>
        </w:rPr>
        <w:t>recorded</w:t>
      </w:r>
      <w:r w:rsidRPr="00883742">
        <w:t xml:space="preserve"> rather than the reported analytical results. In this example, the reported data (for both ICP-AES and ICP-MS</w:t>
      </w:r>
      <w:r w:rsidR="00864FBB" w:rsidRPr="00883742">
        <w:t>)</w:t>
      </w:r>
      <w:r w:rsidRPr="00883742">
        <w:t xml:space="preserve"> would have been given as less than (&lt;) the cited LD</w:t>
      </w:r>
      <w:r w:rsidR="00883742" w:rsidRPr="00883742">
        <w:t>L</w:t>
      </w:r>
      <w:r w:rsidRPr="00883742">
        <w:t xml:space="preserve"> losing a lot of interesting distribution information at the lower concentrations of Al in stream water.</w:t>
      </w:r>
    </w:p>
    <w:tbl>
      <w:tblPr>
        <w:tblStyle w:val="TableGrid"/>
        <w:tblW w:w="0" w:type="auto"/>
        <w:jc w:val="center"/>
        <w:shd w:val="clear" w:color="auto" w:fill="FFFFCC"/>
        <w:tblLook w:val="04A0" w:firstRow="1" w:lastRow="0" w:firstColumn="1" w:lastColumn="0" w:noHBand="0" w:noVBand="1"/>
      </w:tblPr>
      <w:tblGrid>
        <w:gridCol w:w="9345"/>
      </w:tblGrid>
      <w:tr w:rsidR="00883742" w14:paraId="727EA462" w14:textId="77777777" w:rsidTr="00AA45BA">
        <w:trPr>
          <w:jc w:val="center"/>
        </w:trPr>
        <w:tc>
          <w:tcPr>
            <w:tcW w:w="9345" w:type="dxa"/>
            <w:tcBorders>
              <w:top w:val="nil"/>
              <w:left w:val="nil"/>
              <w:bottom w:val="nil"/>
              <w:right w:val="nil"/>
            </w:tcBorders>
            <w:shd w:val="clear" w:color="auto" w:fill="auto"/>
          </w:tcPr>
          <w:p w14:paraId="5E796759" w14:textId="77777777" w:rsidR="00883742" w:rsidRPr="0011516F" w:rsidRDefault="00883742" w:rsidP="00946033">
            <w:pPr>
              <w:rPr>
                <w:b/>
                <w:bCs/>
              </w:rPr>
            </w:pPr>
          </w:p>
        </w:tc>
      </w:tr>
      <w:tr w:rsidR="00883742" w14:paraId="4AB86D96" w14:textId="77777777" w:rsidTr="00AA45BA">
        <w:trPr>
          <w:jc w:val="center"/>
        </w:trPr>
        <w:tc>
          <w:tcPr>
            <w:tcW w:w="9345" w:type="dxa"/>
            <w:tcBorders>
              <w:top w:val="nil"/>
              <w:left w:val="nil"/>
              <w:bottom w:val="nil"/>
              <w:right w:val="nil"/>
            </w:tcBorders>
            <w:shd w:val="clear" w:color="auto" w:fill="auto"/>
          </w:tcPr>
          <w:p w14:paraId="324636FE" w14:textId="77777777" w:rsidR="00883742" w:rsidRPr="0011516F" w:rsidRDefault="00883742" w:rsidP="00946033">
            <w:pPr>
              <w:rPr>
                <w:b/>
                <w:bCs/>
              </w:rPr>
            </w:pPr>
          </w:p>
        </w:tc>
      </w:tr>
      <w:tr w:rsidR="00883742" w14:paraId="1E361945" w14:textId="77777777" w:rsidTr="00AA45BA">
        <w:trPr>
          <w:jc w:val="center"/>
        </w:trPr>
        <w:tc>
          <w:tcPr>
            <w:tcW w:w="9345" w:type="dxa"/>
            <w:tcBorders>
              <w:top w:val="nil"/>
              <w:left w:val="nil"/>
              <w:bottom w:val="nil"/>
              <w:right w:val="nil"/>
            </w:tcBorders>
            <w:shd w:val="clear" w:color="auto" w:fill="auto"/>
          </w:tcPr>
          <w:p w14:paraId="7C748C44" w14:textId="77777777" w:rsidR="00883742" w:rsidRPr="0011516F" w:rsidRDefault="00883742" w:rsidP="00946033">
            <w:pPr>
              <w:rPr>
                <w:b/>
                <w:bCs/>
              </w:rPr>
            </w:pPr>
          </w:p>
        </w:tc>
      </w:tr>
      <w:tr w:rsidR="00883742" w14:paraId="30C3A689" w14:textId="77777777" w:rsidTr="00AA45BA">
        <w:trPr>
          <w:jc w:val="center"/>
        </w:trPr>
        <w:tc>
          <w:tcPr>
            <w:tcW w:w="9345" w:type="dxa"/>
            <w:tcBorders>
              <w:top w:val="nil"/>
              <w:left w:val="nil"/>
              <w:bottom w:val="nil"/>
              <w:right w:val="nil"/>
            </w:tcBorders>
            <w:shd w:val="clear" w:color="auto" w:fill="auto"/>
          </w:tcPr>
          <w:p w14:paraId="55A4DD1E" w14:textId="77777777" w:rsidR="00883742" w:rsidRPr="0011516F" w:rsidRDefault="00883742" w:rsidP="00946033">
            <w:pPr>
              <w:rPr>
                <w:b/>
                <w:bCs/>
              </w:rPr>
            </w:pPr>
          </w:p>
        </w:tc>
      </w:tr>
      <w:tr w:rsidR="00AA45BA" w14:paraId="6BD26715" w14:textId="77777777" w:rsidTr="00AA45BA">
        <w:trPr>
          <w:jc w:val="center"/>
        </w:trPr>
        <w:tc>
          <w:tcPr>
            <w:tcW w:w="9345" w:type="dxa"/>
            <w:tcBorders>
              <w:top w:val="nil"/>
              <w:left w:val="nil"/>
              <w:bottom w:val="nil"/>
              <w:right w:val="nil"/>
            </w:tcBorders>
            <w:shd w:val="clear" w:color="auto" w:fill="auto"/>
            <w:vAlign w:val="center"/>
          </w:tcPr>
          <w:p w14:paraId="43674517" w14:textId="715A29EB" w:rsidR="00AA45BA" w:rsidRPr="0011516F" w:rsidRDefault="00AA45BA" w:rsidP="00AA45BA">
            <w:pPr>
              <w:jc w:val="center"/>
              <w:rPr>
                <w:b/>
                <w:bCs/>
              </w:rPr>
            </w:pPr>
            <w:r w:rsidRPr="000B79E8">
              <w:rPr>
                <w:rFonts w:cs="Times New Roman"/>
                <w:b/>
                <w:bCs/>
                <w:noProof/>
                <w:lang w:eastAsia="en-GB"/>
              </w:rPr>
              <w:lastRenderedPageBreak/>
              <w:drawing>
                <wp:inline distT="0" distB="0" distL="0" distR="0" wp14:anchorId="2B0710EC" wp14:editId="411B6FAA">
                  <wp:extent cx="4181277" cy="56257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4181475" cy="56260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73838B6" w14:textId="19C8DD41" w:rsidR="005C53F3" w:rsidRPr="005C53F3" w:rsidRDefault="005C53F3" w:rsidP="005C53F3">
      <w:pPr>
        <w:pStyle w:val="Caption"/>
      </w:pPr>
      <w:r w:rsidRPr="005C53F3">
        <w:t>Figure 8.15. Aluminium in stream water samples from England and Wales from the G-BASE project illustrat</w:t>
      </w:r>
      <w:r w:rsidR="00F37A89">
        <w:t>es</w:t>
      </w:r>
      <w:r w:rsidRPr="005C53F3">
        <w:t xml:space="preserve"> how data sets with different lower detection limits can be combined (from Johnson et al., 2018, Fig. 5.14, p.98).</w:t>
      </w:r>
    </w:p>
    <w:tbl>
      <w:tblPr>
        <w:tblStyle w:val="TableGrid"/>
        <w:tblW w:w="0" w:type="auto"/>
        <w:jc w:val="center"/>
        <w:shd w:val="clear" w:color="auto" w:fill="FFFFCC"/>
        <w:tblLook w:val="04A0" w:firstRow="1" w:lastRow="0" w:firstColumn="1" w:lastColumn="0" w:noHBand="0" w:noVBand="1"/>
      </w:tblPr>
      <w:tblGrid>
        <w:gridCol w:w="9345"/>
      </w:tblGrid>
      <w:tr w:rsidR="00296802" w14:paraId="385E8258" w14:textId="77777777" w:rsidTr="00181BE5">
        <w:trPr>
          <w:jc w:val="center"/>
        </w:trPr>
        <w:tc>
          <w:tcPr>
            <w:tcW w:w="9345" w:type="dxa"/>
            <w:tcBorders>
              <w:top w:val="nil"/>
              <w:left w:val="nil"/>
              <w:bottom w:val="single" w:sz="4" w:space="0" w:color="auto"/>
              <w:right w:val="nil"/>
            </w:tcBorders>
            <w:shd w:val="clear" w:color="auto" w:fill="auto"/>
          </w:tcPr>
          <w:p w14:paraId="41AD81EF" w14:textId="77777777" w:rsidR="00296802" w:rsidRPr="0011516F" w:rsidRDefault="00296802" w:rsidP="00946033">
            <w:pPr>
              <w:rPr>
                <w:b/>
                <w:bCs/>
              </w:rPr>
            </w:pPr>
          </w:p>
        </w:tc>
      </w:tr>
      <w:tr w:rsidR="00296802" w14:paraId="28F67387" w14:textId="77777777" w:rsidTr="00F37A89">
        <w:trPr>
          <w:trHeight w:hRule="exact" w:val="907"/>
          <w:jc w:val="center"/>
        </w:trPr>
        <w:tc>
          <w:tcPr>
            <w:tcW w:w="9345" w:type="dxa"/>
            <w:tcBorders>
              <w:top w:val="single" w:sz="4" w:space="0" w:color="auto"/>
              <w:bottom w:val="single" w:sz="4" w:space="0" w:color="auto"/>
            </w:tcBorders>
            <w:shd w:val="clear" w:color="auto" w:fill="FFFFCC"/>
          </w:tcPr>
          <w:p w14:paraId="5684351D" w14:textId="1FBEBE18" w:rsidR="00296802" w:rsidRDefault="00296802" w:rsidP="00CC08A3">
            <w:pPr>
              <w:pStyle w:val="BodyText"/>
            </w:pPr>
            <w:r w:rsidRPr="0011516F">
              <w:rPr>
                <w:b/>
                <w:bCs/>
              </w:rPr>
              <w:t>Important note</w:t>
            </w:r>
            <w:r>
              <w:rPr>
                <w:b/>
                <w:bCs/>
              </w:rPr>
              <w:t xml:space="preserve"> 2</w:t>
            </w:r>
            <w:r w:rsidRPr="00A12C43">
              <w:rPr>
                <w:b/>
                <w:bCs/>
              </w:rPr>
              <w:t>:</w:t>
            </w:r>
            <w:r w:rsidRPr="009D6A06">
              <w:t xml:space="preserve"> </w:t>
            </w:r>
            <w:r w:rsidR="00F37A89">
              <w:t xml:space="preserve">The laboratory MUST </w:t>
            </w:r>
            <w:r w:rsidR="00CC08A3" w:rsidRPr="00CC08A3">
              <w:t xml:space="preserve">provide the applied geochemist </w:t>
            </w:r>
            <w:r w:rsidR="00F37A89">
              <w:t xml:space="preserve">with </w:t>
            </w:r>
            <w:r w:rsidR="00CC08A3" w:rsidRPr="00CC08A3">
              <w:t xml:space="preserve">the </w:t>
            </w:r>
            <w:r w:rsidR="00CC08A3" w:rsidRPr="0062177C">
              <w:rPr>
                <w:b/>
                <w:bCs/>
                <w:i/>
                <w:iCs/>
              </w:rPr>
              <w:t>recorded</w:t>
            </w:r>
            <w:r w:rsidR="00CC08A3" w:rsidRPr="00CC08A3">
              <w:t xml:space="preserve"> results as produced by the analytical instrument, including negative values (uncensored data). The geochemical database </w:t>
            </w:r>
            <w:r w:rsidR="00F37A89">
              <w:t>MUST NOT</w:t>
            </w:r>
            <w:r w:rsidR="00CC08A3" w:rsidRPr="00CC08A3">
              <w:t xml:space="preserve"> include a mixture of recorded and reported results.</w:t>
            </w:r>
          </w:p>
        </w:tc>
      </w:tr>
      <w:tr w:rsidR="00296802" w14:paraId="43AFD708" w14:textId="77777777" w:rsidTr="00181BE5">
        <w:trPr>
          <w:jc w:val="center"/>
        </w:trPr>
        <w:tc>
          <w:tcPr>
            <w:tcW w:w="9345" w:type="dxa"/>
            <w:tcBorders>
              <w:top w:val="single" w:sz="4" w:space="0" w:color="auto"/>
              <w:left w:val="nil"/>
              <w:bottom w:val="nil"/>
              <w:right w:val="nil"/>
            </w:tcBorders>
            <w:shd w:val="clear" w:color="auto" w:fill="auto"/>
          </w:tcPr>
          <w:p w14:paraId="11BABB4B" w14:textId="77777777" w:rsidR="00296802" w:rsidRPr="0011516F" w:rsidRDefault="00296802" w:rsidP="00946033">
            <w:pPr>
              <w:pStyle w:val="BodyText"/>
              <w:rPr>
                <w:b/>
                <w:bCs/>
              </w:rPr>
            </w:pPr>
          </w:p>
        </w:tc>
      </w:tr>
      <w:tr w:rsidR="00AF0F1B" w14:paraId="5F3DF0DD" w14:textId="77777777" w:rsidTr="004F3D51">
        <w:tblPrEx>
          <w:shd w:val="clear" w:color="auto" w:fill="auto"/>
        </w:tblPrEx>
        <w:trPr>
          <w:trHeight w:hRule="exact" w:val="1985"/>
          <w:jc w:val="center"/>
        </w:trPr>
        <w:tc>
          <w:tcPr>
            <w:tcW w:w="9345" w:type="dxa"/>
            <w:tcBorders>
              <w:top w:val="single" w:sz="4" w:space="0" w:color="auto"/>
              <w:bottom w:val="single" w:sz="4" w:space="0" w:color="auto"/>
            </w:tcBorders>
            <w:shd w:val="clear" w:color="auto" w:fill="FFFFCC"/>
            <w:vAlign w:val="center"/>
          </w:tcPr>
          <w:p w14:paraId="4504ABC1" w14:textId="19521000" w:rsidR="00AF0F1B" w:rsidRDefault="00AF0F1B" w:rsidP="00181BE5">
            <w:pPr>
              <w:pStyle w:val="BodyText"/>
            </w:pPr>
            <w:r w:rsidRPr="0011516F">
              <w:rPr>
                <w:b/>
                <w:bCs/>
              </w:rPr>
              <w:t>Important note</w:t>
            </w:r>
            <w:r>
              <w:rPr>
                <w:b/>
                <w:bCs/>
              </w:rPr>
              <w:t xml:space="preserve"> 3</w:t>
            </w:r>
            <w:r w:rsidRPr="00A12C43">
              <w:rPr>
                <w:b/>
                <w:bCs/>
              </w:rPr>
              <w:t>:</w:t>
            </w:r>
            <w:r w:rsidRPr="009D6A06">
              <w:t xml:space="preserve"> </w:t>
            </w:r>
            <w:r w:rsidR="009B3B5B">
              <w:t xml:space="preserve">Secondary Reference Materials (SRMs) </w:t>
            </w:r>
            <w:r w:rsidR="00EE31D3">
              <w:t xml:space="preserve">of different chemical composition </w:t>
            </w:r>
            <w:r w:rsidR="009B3B5B">
              <w:t>must always</w:t>
            </w:r>
            <w:r w:rsidR="00EE31D3">
              <w:t xml:space="preserve"> be</w:t>
            </w:r>
            <w:r w:rsidR="009B3B5B">
              <w:t xml:space="preserve"> introduced systematically in the analytical batches of geochemical surveys as their results can be used in the future</w:t>
            </w:r>
            <w:r w:rsidR="00EE31D3">
              <w:t xml:space="preserve"> for levelling</w:t>
            </w:r>
            <w:r w:rsidR="007969EC">
              <w:t xml:space="preserve"> disparate data sets</w:t>
            </w:r>
            <w:r w:rsidRPr="00CC08A3">
              <w:t>.</w:t>
            </w:r>
            <w:r w:rsidR="00EE31D3">
              <w:t xml:space="preserve"> </w:t>
            </w:r>
            <w:r w:rsidR="002B33EB">
              <w:t>A</w:t>
            </w:r>
            <w:r w:rsidR="002B33EB" w:rsidRPr="003806A3">
              <w:t>t least five different SRMs will be needed for each sample type to cover the concentration ranges of all elements</w:t>
            </w:r>
            <w:r w:rsidR="00291859">
              <w:t>.</w:t>
            </w:r>
            <w:r w:rsidR="002B33EB">
              <w:t xml:space="preserve"> </w:t>
            </w:r>
            <w:r w:rsidR="00EE31D3">
              <w:t xml:space="preserve">Hence, large quantities </w:t>
            </w:r>
            <w:r w:rsidR="007969EC">
              <w:t xml:space="preserve">of each SRM </w:t>
            </w:r>
            <w:r w:rsidR="00EE31D3">
              <w:t>are required to be made</w:t>
            </w:r>
            <w:r w:rsidR="002B33EB">
              <w:t xml:space="preserve"> to cover the duration of long</w:t>
            </w:r>
            <w:r w:rsidR="00914573">
              <w:t>-running</w:t>
            </w:r>
            <w:r w:rsidR="002B33EB">
              <w:t xml:space="preserve"> surveys such as the Global Geochemical Reference Network project, and enough material should remain for future use and for standardising </w:t>
            </w:r>
            <w:r w:rsidR="002E352E">
              <w:t>new SRMs</w:t>
            </w:r>
            <w:r w:rsidR="007969EC">
              <w:t>.</w:t>
            </w:r>
          </w:p>
        </w:tc>
      </w:tr>
      <w:tr w:rsidR="00AF0F1B" w14:paraId="633D3911" w14:textId="77777777" w:rsidTr="00181BE5">
        <w:tblPrEx>
          <w:shd w:val="clear" w:color="auto" w:fill="auto"/>
        </w:tblPrEx>
        <w:trPr>
          <w:jc w:val="center"/>
        </w:trPr>
        <w:tc>
          <w:tcPr>
            <w:tcW w:w="9345" w:type="dxa"/>
            <w:tcBorders>
              <w:top w:val="single" w:sz="4" w:space="0" w:color="auto"/>
              <w:left w:val="nil"/>
              <w:bottom w:val="nil"/>
              <w:right w:val="nil"/>
            </w:tcBorders>
          </w:tcPr>
          <w:p w14:paraId="664E41BF" w14:textId="77777777" w:rsidR="00AF0F1B" w:rsidRPr="0011516F" w:rsidRDefault="00AF0F1B" w:rsidP="00946033">
            <w:pPr>
              <w:pStyle w:val="BodyText"/>
              <w:rPr>
                <w:b/>
                <w:bCs/>
              </w:rPr>
            </w:pPr>
          </w:p>
        </w:tc>
      </w:tr>
      <w:tr w:rsidR="005C53F3" w14:paraId="0EC94AA3" w14:textId="77777777" w:rsidTr="00181BE5">
        <w:tblPrEx>
          <w:shd w:val="clear" w:color="auto" w:fill="auto"/>
        </w:tblPrEx>
        <w:trPr>
          <w:jc w:val="center"/>
        </w:trPr>
        <w:tc>
          <w:tcPr>
            <w:tcW w:w="9345" w:type="dxa"/>
            <w:tcBorders>
              <w:top w:val="nil"/>
              <w:left w:val="nil"/>
              <w:bottom w:val="nil"/>
              <w:right w:val="nil"/>
            </w:tcBorders>
          </w:tcPr>
          <w:p w14:paraId="6F6EF566" w14:textId="77777777" w:rsidR="005C53F3" w:rsidRPr="0011516F" w:rsidRDefault="005C53F3" w:rsidP="00946033">
            <w:pPr>
              <w:pStyle w:val="BodyText"/>
              <w:rPr>
                <w:b/>
                <w:bCs/>
              </w:rPr>
            </w:pPr>
          </w:p>
        </w:tc>
      </w:tr>
      <w:tr w:rsidR="00F37A89" w14:paraId="13EBD3CF" w14:textId="77777777" w:rsidTr="00181BE5">
        <w:tblPrEx>
          <w:shd w:val="clear" w:color="auto" w:fill="auto"/>
        </w:tblPrEx>
        <w:trPr>
          <w:jc w:val="center"/>
        </w:trPr>
        <w:tc>
          <w:tcPr>
            <w:tcW w:w="9345" w:type="dxa"/>
            <w:tcBorders>
              <w:top w:val="nil"/>
              <w:left w:val="nil"/>
              <w:bottom w:val="nil"/>
              <w:right w:val="nil"/>
            </w:tcBorders>
          </w:tcPr>
          <w:p w14:paraId="6147A0AC" w14:textId="77777777" w:rsidR="00F37A89" w:rsidRPr="0011516F" w:rsidRDefault="00F37A89" w:rsidP="00946033">
            <w:pPr>
              <w:pStyle w:val="BodyText"/>
              <w:rPr>
                <w:b/>
                <w:bCs/>
              </w:rPr>
            </w:pPr>
          </w:p>
        </w:tc>
      </w:tr>
    </w:tbl>
    <w:p w14:paraId="5B032E01" w14:textId="22FF919F" w:rsidR="00A32BAD" w:rsidRDefault="00CA2457" w:rsidP="00A32BAD">
      <w:pPr>
        <w:pStyle w:val="Heading3"/>
      </w:pPr>
      <w:bookmarkStart w:id="35" w:name="_Toc92056819"/>
      <w:bookmarkStart w:id="36" w:name="_Toc92056917"/>
      <w:bookmarkStart w:id="37" w:name="_Toc106354233"/>
      <w:r>
        <w:lastRenderedPageBreak/>
        <w:t>8</w:t>
      </w:r>
      <w:r w:rsidR="00A32BAD">
        <w:t>.4.2. Monitoring changes to the geochemical baseline over long period</w:t>
      </w:r>
      <w:bookmarkEnd w:id="35"/>
      <w:bookmarkEnd w:id="36"/>
      <w:r w:rsidR="00F37A89">
        <w:t>s</w:t>
      </w:r>
      <w:bookmarkEnd w:id="37"/>
    </w:p>
    <w:p w14:paraId="2408C2CB" w14:textId="2E8550B8" w:rsidR="00A32BAD" w:rsidRPr="007D1437" w:rsidRDefault="00A32BAD" w:rsidP="00A32BAD">
      <w:pPr>
        <w:pStyle w:val="BodyText"/>
        <w:rPr>
          <w:color w:val="222222"/>
          <w:shd w:val="clear" w:color="auto" w:fill="FFFFFF"/>
        </w:rPr>
      </w:pPr>
      <w:r w:rsidRPr="00A32BAD">
        <w:rPr>
          <w:rStyle w:val="BodyTextChar"/>
        </w:rPr>
        <w:t xml:space="preserve">It is important to distinguish between changes in the geochemical baseline arising from different methodologies used to quantify that baseline, and the real environmental changes that occur over time, both natural and anthropogenic. </w:t>
      </w:r>
      <w:r w:rsidRPr="0062177C">
        <w:rPr>
          <w:rStyle w:val="BodyTextChar"/>
          <w:i/>
          <w:iCs/>
        </w:rPr>
        <w:t>For example</w:t>
      </w:r>
      <w:r w:rsidRPr="00A32BAD">
        <w:rPr>
          <w:rStyle w:val="BodyTextChar"/>
        </w:rPr>
        <w:t>, the cessation of domestic coal burning has significantly reduced the airborne input of some metals to soil (</w:t>
      </w:r>
      <w:proofErr w:type="spellStart"/>
      <w:r w:rsidRPr="00A32BAD">
        <w:rPr>
          <w:rStyle w:val="BodyTextChar"/>
        </w:rPr>
        <w:t>Haygarth</w:t>
      </w:r>
      <w:proofErr w:type="spellEnd"/>
      <w:r w:rsidRPr="00A32BAD">
        <w:rPr>
          <w:rStyle w:val="BodyTextChar"/>
        </w:rPr>
        <w:t xml:space="preserve">, 1994; McConnell </w:t>
      </w:r>
      <w:r w:rsidR="00785949" w:rsidRPr="00ED530A">
        <w:rPr>
          <w:rStyle w:val="BodyTextChar"/>
          <w:iCs/>
        </w:rPr>
        <w:t>and Edwards,</w:t>
      </w:r>
      <w:r w:rsidRPr="00ED530A">
        <w:rPr>
          <w:rStyle w:val="BodyTextChar"/>
          <w:iCs/>
        </w:rPr>
        <w:t xml:space="preserve"> 2</w:t>
      </w:r>
      <w:r w:rsidRPr="00A32BAD">
        <w:rPr>
          <w:rStyle w:val="BodyTextChar"/>
        </w:rPr>
        <w:t>008). Long term monitoring of key national sites is, therefore, an important part of future</w:t>
      </w:r>
      <w:r w:rsidR="00A00CD8">
        <w:rPr>
          <w:rStyle w:val="BodyTextChar"/>
        </w:rPr>
        <w:t>-</w:t>
      </w:r>
      <w:r w:rsidRPr="00A32BAD">
        <w:rPr>
          <w:rStyle w:val="BodyTextChar"/>
        </w:rPr>
        <w:t>proofing regional geochemical mapping programmes. This is something that is relevant to a wide range of environmental sciences and needs to be coordinated nationally between</w:t>
      </w:r>
      <w:r w:rsidRPr="007D1437">
        <w:t xml:space="preserve"> environmental institutions and organisations. In the United Kingdom, the</w:t>
      </w:r>
      <w:r w:rsidRPr="007D1437">
        <w:rPr>
          <w:rFonts w:eastAsia="TimesNewRoman"/>
        </w:rPr>
        <w:t xml:space="preserve"> Park Grass experiment at Rothamsted Research, Harpenden, Hertfordshire, was initiated in 1856 and is the longest</w:t>
      </w:r>
      <w:r w:rsidR="00A00CD8">
        <w:rPr>
          <w:rFonts w:eastAsia="TimesNewRoman"/>
        </w:rPr>
        <w:t>-</w:t>
      </w:r>
      <w:r w:rsidRPr="007D1437">
        <w:rPr>
          <w:rFonts w:eastAsia="TimesNewRoman"/>
        </w:rPr>
        <w:t xml:space="preserve">running experiment on permanent grassland in the world (Silvertown </w:t>
      </w:r>
      <w:r w:rsidR="00A26595" w:rsidRPr="00A26595">
        <w:rPr>
          <w:rFonts w:eastAsia="TimesNewRoman"/>
          <w:i/>
        </w:rPr>
        <w:t>et al.</w:t>
      </w:r>
      <w:r w:rsidRPr="007D1437">
        <w:rPr>
          <w:rFonts w:eastAsia="TimesNewRoman"/>
        </w:rPr>
        <w:t xml:space="preserve">, 2006). </w:t>
      </w:r>
      <w:r w:rsidRPr="007D1437">
        <w:rPr>
          <w:color w:val="222222"/>
          <w:shd w:val="clear" w:color="auto" w:fill="FFFFFF"/>
        </w:rPr>
        <w:t>The experiment was originally designed to investigate the impacts of agriculture but has provided a soil sample archive that has helped to record changes to the geochemistry of the soil (</w:t>
      </w:r>
      <w:r w:rsidR="00A26595" w:rsidRPr="00A26595">
        <w:rPr>
          <w:i/>
          <w:iCs/>
          <w:color w:val="222222"/>
          <w:shd w:val="clear" w:color="auto" w:fill="FFFFFF"/>
        </w:rPr>
        <w:t>e.g.</w:t>
      </w:r>
      <w:r w:rsidRPr="007D1437">
        <w:rPr>
          <w:color w:val="222222"/>
          <w:shd w:val="clear" w:color="auto" w:fill="FFFFFF"/>
        </w:rPr>
        <w:t xml:space="preserve">, Zhao </w:t>
      </w:r>
      <w:r w:rsidR="00A26595" w:rsidRPr="00A26595">
        <w:rPr>
          <w:i/>
          <w:color w:val="222222"/>
          <w:shd w:val="clear" w:color="auto" w:fill="FFFFFF"/>
        </w:rPr>
        <w:t>et al.</w:t>
      </w:r>
      <w:r w:rsidRPr="007D1437">
        <w:rPr>
          <w:color w:val="222222"/>
          <w:shd w:val="clear" w:color="auto" w:fill="FFFFFF"/>
        </w:rPr>
        <w:t xml:space="preserve">, 1998; </w:t>
      </w:r>
      <w:proofErr w:type="spellStart"/>
      <w:r w:rsidRPr="007D1437">
        <w:rPr>
          <w:color w:val="222222"/>
          <w:shd w:val="clear" w:color="auto" w:fill="FFFFFF"/>
        </w:rPr>
        <w:t>Warneke</w:t>
      </w:r>
      <w:proofErr w:type="spellEnd"/>
      <w:r w:rsidRPr="007D1437">
        <w:rPr>
          <w:color w:val="222222"/>
          <w:shd w:val="clear" w:color="auto" w:fill="FFFFFF"/>
        </w:rPr>
        <w:t xml:space="preserve"> </w:t>
      </w:r>
      <w:r w:rsidR="00A26595" w:rsidRPr="00A26595">
        <w:rPr>
          <w:i/>
          <w:color w:val="222222"/>
          <w:shd w:val="clear" w:color="auto" w:fill="FFFFFF"/>
        </w:rPr>
        <w:t>et al.</w:t>
      </w:r>
      <w:r w:rsidRPr="007D1437">
        <w:rPr>
          <w:color w:val="222222"/>
          <w:shd w:val="clear" w:color="auto" w:fill="FFFFFF"/>
        </w:rPr>
        <w:t xml:space="preserve">, 2002; Blake </w:t>
      </w:r>
      <w:r w:rsidR="00A26595" w:rsidRPr="00A26595">
        <w:rPr>
          <w:i/>
          <w:color w:val="222222"/>
          <w:shd w:val="clear" w:color="auto" w:fill="FFFFFF"/>
        </w:rPr>
        <w:t>et al.</w:t>
      </w:r>
      <w:r w:rsidRPr="007D1437">
        <w:rPr>
          <w:color w:val="222222"/>
          <w:shd w:val="clear" w:color="auto" w:fill="FFFFFF"/>
        </w:rPr>
        <w:t xml:space="preserve">, 1999; Hartley </w:t>
      </w:r>
      <w:r w:rsidR="00A26595" w:rsidRPr="00A26595">
        <w:rPr>
          <w:i/>
          <w:color w:val="222222"/>
          <w:shd w:val="clear" w:color="auto" w:fill="FFFFFF"/>
        </w:rPr>
        <w:t>et al.</w:t>
      </w:r>
      <w:r w:rsidRPr="007D1437">
        <w:rPr>
          <w:color w:val="222222"/>
          <w:shd w:val="clear" w:color="auto" w:fill="FFFFFF"/>
        </w:rPr>
        <w:t xml:space="preserve">, 2013; Bowley </w:t>
      </w:r>
      <w:r w:rsidR="00A26595" w:rsidRPr="00A26595">
        <w:rPr>
          <w:i/>
          <w:color w:val="222222"/>
          <w:shd w:val="clear" w:color="auto" w:fill="FFFFFF"/>
        </w:rPr>
        <w:t>et al.</w:t>
      </w:r>
      <w:r w:rsidRPr="007D1437">
        <w:rPr>
          <w:color w:val="222222"/>
          <w:shd w:val="clear" w:color="auto" w:fill="FFFFFF"/>
        </w:rPr>
        <w:t>, 2017).</w:t>
      </w:r>
    </w:p>
    <w:p w14:paraId="7F25B04C" w14:textId="7920255E" w:rsidR="00A32BAD" w:rsidRDefault="00A32BAD" w:rsidP="0016295F">
      <w:pPr>
        <w:pStyle w:val="Paragraph"/>
        <w:rPr>
          <w:shd w:val="clear" w:color="auto" w:fill="FFFFFF"/>
        </w:rPr>
      </w:pPr>
      <w:r w:rsidRPr="007D1437">
        <w:rPr>
          <w:shd w:val="clear" w:color="auto" w:fill="FFFFFF"/>
        </w:rPr>
        <w:t xml:space="preserve">With the establishment of standards for the global geochemical baseline mapping of the environment since the mid-1990s </w:t>
      </w:r>
      <w:r w:rsidR="00F049C1">
        <w:rPr>
          <w:shd w:val="clear" w:color="auto" w:fill="FFFFFF"/>
        </w:rPr>
        <w:t xml:space="preserve">(Darnley </w:t>
      </w:r>
      <w:r w:rsidR="00F049C1" w:rsidRPr="00F049C1">
        <w:rPr>
          <w:i/>
          <w:iCs/>
          <w:shd w:val="clear" w:color="auto" w:fill="FFFFFF"/>
        </w:rPr>
        <w:t>et al.</w:t>
      </w:r>
      <w:r w:rsidR="00F049C1">
        <w:rPr>
          <w:shd w:val="clear" w:color="auto" w:fill="FFFFFF"/>
        </w:rPr>
        <w:t xml:space="preserve">, 1995) </w:t>
      </w:r>
      <w:r w:rsidRPr="007D1437">
        <w:rPr>
          <w:shd w:val="clear" w:color="auto" w:fill="FFFFFF"/>
        </w:rPr>
        <w:t xml:space="preserve">more long-term monitoring sites need to be established globally to monitor changes to </w:t>
      </w:r>
      <w:r w:rsidR="00A00CD8">
        <w:rPr>
          <w:shd w:val="clear" w:color="auto" w:fill="FFFFFF"/>
        </w:rPr>
        <w:t xml:space="preserve">the </w:t>
      </w:r>
      <w:r w:rsidRPr="007D1437">
        <w:rPr>
          <w:shd w:val="clear" w:color="auto" w:fill="FFFFFF"/>
        </w:rPr>
        <w:t>soil, stream sediment and stream water. This is particularly relevant to monitor</w:t>
      </w:r>
      <w:r w:rsidR="00A00CD8">
        <w:rPr>
          <w:shd w:val="clear" w:color="auto" w:fill="FFFFFF"/>
        </w:rPr>
        <w:t>ing</w:t>
      </w:r>
      <w:r w:rsidRPr="007D1437">
        <w:rPr>
          <w:shd w:val="clear" w:color="auto" w:fill="FFFFFF"/>
        </w:rPr>
        <w:t xml:space="preserve"> the changes caused by global-scale industrialisation and urbanisation and accompanying natural climate change. Only by adding a time dimension to the geochemical baseline can the long term future</w:t>
      </w:r>
      <w:r w:rsidR="00A00CD8">
        <w:rPr>
          <w:shd w:val="clear" w:color="auto" w:fill="FFFFFF"/>
        </w:rPr>
        <w:t>-</w:t>
      </w:r>
      <w:r w:rsidRPr="007D1437">
        <w:rPr>
          <w:shd w:val="clear" w:color="auto" w:fill="FFFFFF"/>
        </w:rPr>
        <w:t>proofing of global baseline data be achieved.</w:t>
      </w:r>
    </w:p>
    <w:p w14:paraId="63E9498B" w14:textId="363F2068" w:rsidR="00A32BAD" w:rsidRPr="00A32BAD" w:rsidRDefault="00CA2457" w:rsidP="0016295F">
      <w:pPr>
        <w:pStyle w:val="Heading2"/>
      </w:pPr>
      <w:bookmarkStart w:id="38" w:name="_Toc92056820"/>
      <w:bookmarkStart w:id="39" w:name="_Toc92056918"/>
      <w:bookmarkStart w:id="40" w:name="_Toc106354234"/>
      <w:r>
        <w:t>8</w:t>
      </w:r>
      <w:r w:rsidR="00A32BAD" w:rsidRPr="00A32BAD">
        <w:t>.</w:t>
      </w:r>
      <w:r w:rsidR="0016295F">
        <w:t>5</w:t>
      </w:r>
      <w:r w:rsidR="00A32BAD" w:rsidRPr="00A32BAD">
        <w:t>. R</w:t>
      </w:r>
      <w:r w:rsidR="0016295F" w:rsidRPr="00A32BAD">
        <w:t>ecommendations</w:t>
      </w:r>
      <w:bookmarkEnd w:id="38"/>
      <w:bookmarkEnd w:id="39"/>
      <w:bookmarkEnd w:id="40"/>
    </w:p>
    <w:p w14:paraId="07B7561B" w14:textId="6C65B1F5" w:rsidR="00A32BAD" w:rsidRPr="007D1437" w:rsidRDefault="00A32BAD" w:rsidP="0016295F">
      <w:pPr>
        <w:pStyle w:val="BodyText"/>
      </w:pPr>
      <w:r w:rsidRPr="007D1437">
        <w:t xml:space="preserve">This chapter demonstrates the value of routinely and systematically including SRM samples in analytical batches to enable sets of geochemical results produced over a long period to be combined to </w:t>
      </w:r>
      <w:r w:rsidR="00504368">
        <w:t>yield</w:t>
      </w:r>
      <w:r w:rsidR="00504368" w:rsidRPr="007D1437">
        <w:t xml:space="preserve"> </w:t>
      </w:r>
      <w:r w:rsidRPr="007D1437">
        <w:t xml:space="preserve">seamless geochemical maps. </w:t>
      </w:r>
      <w:r w:rsidR="00C060DF">
        <w:t>M</w:t>
      </w:r>
      <w:r w:rsidRPr="007D1437">
        <w:t>ethods of chemical analysis will evolve during the lifetime of a long</w:t>
      </w:r>
      <w:r w:rsidR="004358B8">
        <w:t>-</w:t>
      </w:r>
      <w:r w:rsidR="00D66A6D">
        <w:t xml:space="preserve">running </w:t>
      </w:r>
      <w:r w:rsidRPr="007D1437">
        <w:t>project to achieve better precision and accuracy in the measurement of the natural geochemical variability. This will generate some incompatibility with earlier data sets that can be rectified with the use of SRMs. If a national or a global geochemical data set has been rapidly generated, using standardised and consistent methodology throughout, no ‘internal’ levelling is necessary. It may well be used, however, in the context of other data sets of lesser quality, and in such cases</w:t>
      </w:r>
      <w:r w:rsidR="00A00CD8">
        <w:t>,</w:t>
      </w:r>
      <w:r w:rsidRPr="007D1437">
        <w:t xml:space="preserve"> SRMs from the high</w:t>
      </w:r>
      <w:r w:rsidR="00A00CD8">
        <w:t>-</w:t>
      </w:r>
      <w:r w:rsidRPr="007D1437">
        <w:t xml:space="preserve">quality data set are still required for the levelling process. </w:t>
      </w:r>
    </w:p>
    <w:p w14:paraId="1F6EFFE9" w14:textId="51A0A5FA" w:rsidR="00A32BAD" w:rsidRPr="007D1437" w:rsidRDefault="00A32BAD" w:rsidP="0016295F">
      <w:pPr>
        <w:pStyle w:val="Paragraph"/>
      </w:pPr>
      <w:r w:rsidRPr="007D1437">
        <w:t>A further very important consideration in any long</w:t>
      </w:r>
      <w:r w:rsidR="004358B8">
        <w:t>-</w:t>
      </w:r>
      <w:r w:rsidRPr="007D1437">
        <w:t xml:space="preserve">running geochemical survey is the financial budget. A fluctuating budget over the lifetime of a project will </w:t>
      </w:r>
      <w:r w:rsidR="00A00CD8">
        <w:t xml:space="preserve">have an </w:t>
      </w:r>
      <w:r w:rsidRPr="007D1437">
        <w:t xml:space="preserve">impact on the consistency of data quality. In the case of the BGS’s G-BASE project, there were many changes to the annual budget over four decades. A limitless budget is a rare occurrence for any geochemical survey and the analytical scheme is usually a compromise to achieve the best value for the available budget. </w:t>
      </w:r>
      <w:r w:rsidRPr="00AA45BA">
        <w:rPr>
          <w:i/>
          <w:iCs/>
        </w:rPr>
        <w:t>The inclusion of a sufficient number of SRMs throughout a project’s duration is an insurance policy that ensures the final product is universally applicable and defensibly consistent</w:t>
      </w:r>
      <w:r w:rsidRPr="007D1437">
        <w:t xml:space="preserve">. This is particularly important if data are to be applied in a legislative </w:t>
      </w:r>
      <w:r w:rsidR="00504368">
        <w:t xml:space="preserve">or regulatory </w:t>
      </w:r>
      <w:r w:rsidRPr="007D1437">
        <w:t xml:space="preserve">context. </w:t>
      </w:r>
    </w:p>
    <w:p w14:paraId="005C46AB" w14:textId="333D4BE7" w:rsidR="00A32BAD" w:rsidRDefault="0063761E" w:rsidP="0016295F">
      <w:pPr>
        <w:pStyle w:val="Paragraph"/>
      </w:pPr>
      <w:r w:rsidRPr="007D1437">
        <w:t>Regarding</w:t>
      </w:r>
      <w:r w:rsidR="00A32BAD" w:rsidRPr="007D1437">
        <w:t xml:space="preserve"> the data levelling procedure</w:t>
      </w:r>
      <w:r w:rsidR="007969EC">
        <w:t>,</w:t>
      </w:r>
      <w:r w:rsidR="00A32BAD" w:rsidRPr="007D1437">
        <w:t xml:space="preserve"> it is recommended that:</w:t>
      </w:r>
    </w:p>
    <w:p w14:paraId="6F0FCA5C" w14:textId="77777777" w:rsidR="0016295F" w:rsidRPr="007D1437" w:rsidRDefault="0016295F" w:rsidP="0016295F">
      <w:pPr>
        <w:pStyle w:val="Paragraph"/>
      </w:pPr>
    </w:p>
    <w:p w14:paraId="4BD32D20" w14:textId="661483DC" w:rsidR="00A32BAD" w:rsidRPr="004358B8" w:rsidRDefault="00A32BAD" w:rsidP="0016295F">
      <w:pPr>
        <w:pStyle w:val="ListParagraph"/>
        <w:numPr>
          <w:ilvl w:val="0"/>
          <w:numId w:val="38"/>
        </w:numPr>
      </w:pPr>
      <w:r w:rsidRPr="0016295F">
        <w:rPr>
          <w:b/>
          <w:bCs/>
        </w:rPr>
        <w:t>Sufficient time must be allocated for the data conditioning of the geochemical results</w:t>
      </w:r>
      <w:r w:rsidRPr="0016295F">
        <w:t xml:space="preserve">. The final part of this process is testing whether the results need to be levelled to make them consistent with earlier analytical batches or with other external data with which they may be combined or compared, provided the same SRMs have been used. It is our experience from over four decades of generating large regional geochemical baseline data sets, for many countries around the globe, that the data conditioning process is generally under-resourced and not understood by project managers who have no geochemical experience. Making geochemical maps and X-Y plots for a data set, which </w:t>
      </w:r>
      <w:r w:rsidRPr="0016295F">
        <w:lastRenderedPageBreak/>
        <w:t>may contain results for more than fifty elements, can be very time-consuming. Consistent and rapid output is best achieved by automating the plotting procedures using application software on standard formatted data files containing SRMs results and their accepted values (</w:t>
      </w:r>
      <w:r w:rsidR="00A26595" w:rsidRPr="00A26595">
        <w:rPr>
          <w:i/>
          <w:iCs/>
        </w:rPr>
        <w:t>e.g.</w:t>
      </w:r>
      <w:r w:rsidRPr="0016295F">
        <w:t xml:space="preserve">, R </w:t>
      </w:r>
      <w:r w:rsidR="00E47511">
        <w:t>scripts</w:t>
      </w:r>
      <w:r w:rsidRPr="0016295F">
        <w:t xml:space="preserve"> (Reimann </w:t>
      </w:r>
      <w:r w:rsidR="00A26595" w:rsidRPr="00A26595">
        <w:rPr>
          <w:i/>
          <w:iCs/>
        </w:rPr>
        <w:t>et al.</w:t>
      </w:r>
      <w:r w:rsidRPr="0016295F">
        <w:t>, 2008) or MS Excel macro routines)</w:t>
      </w:r>
      <w:r w:rsidR="004358B8">
        <w:t xml:space="preserve"> – </w:t>
      </w:r>
      <w:r w:rsidR="004358B8" w:rsidRPr="004358B8">
        <w:t xml:space="preserve">see </w:t>
      </w:r>
      <w:r w:rsidR="006B4DC7">
        <w:t xml:space="preserve">the </w:t>
      </w:r>
      <w:r w:rsidR="004358B8" w:rsidRPr="004358B8">
        <w:t xml:space="preserve">example </w:t>
      </w:r>
      <w:r w:rsidRPr="004358B8">
        <w:t>MS Excel file</w:t>
      </w:r>
      <w:r w:rsidR="004358B8" w:rsidRPr="004358B8">
        <w:t xml:space="preserve"> in the Supplementary </w:t>
      </w:r>
      <w:r w:rsidR="00F049C1">
        <w:t>m</w:t>
      </w:r>
      <w:r w:rsidR="004358B8" w:rsidRPr="004358B8">
        <w:t>aterial</w:t>
      </w:r>
      <w:r w:rsidRPr="004358B8">
        <w:t xml:space="preserve">. </w:t>
      </w:r>
    </w:p>
    <w:p w14:paraId="7F76F6AB" w14:textId="1B0C421D" w:rsidR="00A32BAD" w:rsidRPr="0016295F" w:rsidRDefault="00A32BAD" w:rsidP="0016295F">
      <w:pPr>
        <w:pStyle w:val="ListParagraph"/>
        <w:numPr>
          <w:ilvl w:val="0"/>
          <w:numId w:val="38"/>
        </w:numPr>
      </w:pPr>
      <w:r w:rsidRPr="0016295F">
        <w:rPr>
          <w:b/>
          <w:bCs/>
        </w:rPr>
        <w:t>The SRMs should be of a similar material to the sample types being determined</w:t>
      </w:r>
      <w:r w:rsidRPr="0016295F">
        <w:t>. In some analytical methods</w:t>
      </w:r>
      <w:r w:rsidR="00A30A79">
        <w:t>,</w:t>
      </w:r>
      <w:r w:rsidRPr="0016295F">
        <w:t xml:space="preserve"> high concentrations of elements can lead to interference in the determination of other </w:t>
      </w:r>
      <w:r w:rsidRPr="004358B8">
        <w:t xml:space="preserve">elements so these control samples should experience the same interferences as the real samples. Any national or global geochemical survey should consider at the commencement of a large geochemical and long-running project the need to develop a set of SRMs (see Chapter </w:t>
      </w:r>
      <w:r w:rsidR="002E352E" w:rsidRPr="004358B8">
        <w:t>5</w:t>
      </w:r>
      <w:r w:rsidRPr="004358B8">
        <w:t xml:space="preserve"> of this </w:t>
      </w:r>
      <w:r w:rsidR="00913E67" w:rsidRPr="004358B8">
        <w:t>M</w:t>
      </w:r>
      <w:r w:rsidRPr="004358B8">
        <w:t xml:space="preserve">anual). </w:t>
      </w:r>
      <w:r w:rsidRPr="004358B8">
        <w:rPr>
          <w:i/>
          <w:iCs/>
        </w:rPr>
        <w:t>Experience from past geochemical mapping projects would suggest that at least five different SRMs will be needed for each sample type to cover the concentration ranges of all elements</w:t>
      </w:r>
      <w:r w:rsidRPr="004358B8">
        <w:t xml:space="preserve"> (</w:t>
      </w:r>
      <w:r w:rsidR="00A26595" w:rsidRPr="004358B8">
        <w:rPr>
          <w:i/>
          <w:iCs/>
        </w:rPr>
        <w:t>e.g.</w:t>
      </w:r>
      <w:r w:rsidRPr="004358B8">
        <w:t>, see the range of different SRM</w:t>
      </w:r>
      <w:r w:rsidR="002C706F" w:rsidRPr="004358B8">
        <w:t>s</w:t>
      </w:r>
      <w:r w:rsidRPr="004358B8">
        <w:t xml:space="preserve"> used by the G-BASE project in Table </w:t>
      </w:r>
      <w:r w:rsidR="002E352E" w:rsidRPr="004358B8">
        <w:t>8.</w:t>
      </w:r>
      <w:r w:rsidR="00506D5D" w:rsidRPr="004358B8">
        <w:t>3</w:t>
      </w:r>
      <w:r w:rsidRPr="004358B8">
        <w:t>).</w:t>
      </w:r>
    </w:p>
    <w:p w14:paraId="11E1FA5B" w14:textId="41A6A581" w:rsidR="00A32BAD" w:rsidRPr="004358B8" w:rsidRDefault="00A32BAD" w:rsidP="0016295F">
      <w:pPr>
        <w:pStyle w:val="ListParagraph"/>
        <w:numPr>
          <w:ilvl w:val="0"/>
          <w:numId w:val="38"/>
        </w:numPr>
      </w:pPr>
      <w:r w:rsidRPr="004358B8">
        <w:rPr>
          <w:b/>
          <w:bCs/>
        </w:rPr>
        <w:t>A number of different SRMs should be routinely analysed in every batch of samples</w:t>
      </w:r>
      <w:r w:rsidRPr="004358B8">
        <w:t xml:space="preserve"> so that the X-Y plots, such as those shown in Fig</w:t>
      </w:r>
      <w:r w:rsidR="00504368" w:rsidRPr="004358B8">
        <w:t>ures</w:t>
      </w:r>
      <w:r w:rsidRPr="004358B8">
        <w:t xml:space="preserve"> </w:t>
      </w:r>
      <w:r w:rsidR="00914573" w:rsidRPr="004358B8">
        <w:t>8.</w:t>
      </w:r>
      <w:r w:rsidR="00E77912" w:rsidRPr="004358B8">
        <w:t>6</w:t>
      </w:r>
      <w:r w:rsidR="00914573" w:rsidRPr="004358B8">
        <w:t xml:space="preserve"> to 8.</w:t>
      </w:r>
      <w:r w:rsidR="00E77912" w:rsidRPr="004358B8">
        <w:t>8</w:t>
      </w:r>
      <w:r w:rsidRPr="004358B8">
        <w:t xml:space="preserve">, </w:t>
      </w:r>
      <w:r w:rsidR="00504368" w:rsidRPr="004358B8">
        <w:t xml:space="preserve">provide </w:t>
      </w:r>
      <w:r w:rsidRPr="004358B8">
        <w:t xml:space="preserve">a meaningful regression analysis over a range of concentrations for all the elements determined. The number of SRMs inserted into a batch of 100 samples should be a minimum of two if the active project is collecting 1000s of samples. If the project is collecting 100s of samples then this should be increased to four. If the number of samples collected is small (&lt;100) then between 1 in 20 samples and 1 in 10 samples should be </w:t>
      </w:r>
      <w:r w:rsidR="004A4E0C" w:rsidRPr="004358B8">
        <w:t>an</w:t>
      </w:r>
      <w:r w:rsidRPr="004358B8">
        <w:t xml:space="preserve"> SRM. The number of different SRMs (see point 2 above) submitted in an entire analytical batch of samples must be sufficient to produce satisfactory regression analysis plots.</w:t>
      </w:r>
    </w:p>
    <w:p w14:paraId="254E2ED5" w14:textId="6B309D8B" w:rsidR="00A32BAD" w:rsidRPr="0016295F" w:rsidRDefault="00A32BAD" w:rsidP="0016295F">
      <w:pPr>
        <w:pStyle w:val="ListParagraph"/>
        <w:numPr>
          <w:ilvl w:val="0"/>
          <w:numId w:val="38"/>
        </w:numPr>
      </w:pPr>
      <w:r w:rsidRPr="0016295F">
        <w:rPr>
          <w:b/>
          <w:bCs/>
        </w:rPr>
        <w:t>The process of submitting SRMs in batches of samples for analysis should be done independent</w:t>
      </w:r>
      <w:r w:rsidR="00A30A79">
        <w:rPr>
          <w:b/>
          <w:bCs/>
        </w:rPr>
        <w:t>ly</w:t>
      </w:r>
      <w:r w:rsidRPr="0016295F">
        <w:rPr>
          <w:b/>
          <w:bCs/>
        </w:rPr>
        <w:t xml:space="preserve"> of the analytical laboratory</w:t>
      </w:r>
      <w:r w:rsidRPr="0016295F">
        <w:t xml:space="preserve"> with the SRMs being submitted to the laboratories in the guise of normal samples and hence ‘blind’ to the analyst. The analytical contract should </w:t>
      </w:r>
      <w:r w:rsidR="00A30A79">
        <w:t>include</w:t>
      </w:r>
      <w:r w:rsidRPr="0016295F">
        <w:t xml:space="preserve"> a requirement for the laboratory to routinely determine primary reference materials (PRMs) usually at a rate of four PRMs at the start and end of each analytical batch. This is a procedure the laboratory </w:t>
      </w:r>
      <w:r w:rsidR="00A30A79">
        <w:t>must</w:t>
      </w:r>
      <w:r w:rsidRPr="0016295F">
        <w:t xml:space="preserve"> do to confirm for itself, as well as to its customer, that the results generated are of acceptable quality. The results of the PRMs can also be used to ensure the final levelling of a completed data set is done to an international standard reference point (</w:t>
      </w:r>
      <w:r w:rsidR="00A26595" w:rsidRPr="00A26595">
        <w:rPr>
          <w:i/>
          <w:iCs/>
        </w:rPr>
        <w:t>e.g.</w:t>
      </w:r>
      <w:r w:rsidRPr="0016295F">
        <w:t xml:space="preserve">, Everett </w:t>
      </w:r>
      <w:r w:rsidR="00A26595" w:rsidRPr="00A26595">
        <w:rPr>
          <w:i/>
        </w:rPr>
        <w:t>et al.</w:t>
      </w:r>
      <w:r w:rsidR="002F141B">
        <w:t>, 2018</w:t>
      </w:r>
      <w:r w:rsidRPr="0016295F">
        <w:t>), provided that the same PRMs have been used throughout a long-running project.</w:t>
      </w:r>
    </w:p>
    <w:p w14:paraId="43675694" w14:textId="32364364" w:rsidR="00A32BAD" w:rsidRPr="002E352E" w:rsidRDefault="00A32BAD" w:rsidP="0016295F">
      <w:pPr>
        <w:pStyle w:val="ListParagraph"/>
        <w:numPr>
          <w:ilvl w:val="0"/>
          <w:numId w:val="38"/>
        </w:numPr>
      </w:pPr>
      <w:r w:rsidRPr="002E352E">
        <w:rPr>
          <w:b/>
          <w:bCs/>
        </w:rPr>
        <w:t>The geochemistry database storing the geochemical results needs to be carefully designed so it captures all versions of the geochemical results a project will generate</w:t>
      </w:r>
      <w:r w:rsidRPr="002E352E">
        <w:t xml:space="preserve">. A project will initially receive laboratory results that will be subjected to data conditioning to produce a project geochemical database, which may be subjected to one or more phases of levelling. It needs to be able to store the original results as received from the laboratory plus the results after they have been verified and conditioned to deal with missing or semi-quantitative results (Johnson </w:t>
      </w:r>
      <w:r w:rsidR="00A26595" w:rsidRPr="00A26595">
        <w:rPr>
          <w:i/>
        </w:rPr>
        <w:t>et al.</w:t>
      </w:r>
      <w:r w:rsidRPr="002E352E">
        <w:t>, 2018). Then for each phase of data levelling, database tables associated with version control need to contain the levelling factors determined by the parametric levelling. In this way</w:t>
      </w:r>
      <w:r w:rsidR="000A45A0">
        <w:t>,</w:t>
      </w:r>
      <w:r w:rsidRPr="002E352E">
        <w:t xml:space="preserve"> a single geochemical database can be used to access all the versions of the geochemical results from those received from the laboratory to the latest version of levelled data. Most importantly, control data (duplicates, replicates, blanks, PRMs and SRMs) </w:t>
      </w:r>
      <w:r w:rsidR="0019233D" w:rsidRPr="002E352E">
        <w:t xml:space="preserve">and recommended levelling factors </w:t>
      </w:r>
      <w:r w:rsidRPr="002E352E">
        <w:t>should also be included in the database so future researchers can carry out any further levelling independently of the originators of the original results.</w:t>
      </w:r>
      <w:r w:rsidR="0019233D" w:rsidRPr="002E352E">
        <w:t xml:space="preserve"> This will give a clear audit of any data modifications.</w:t>
      </w:r>
    </w:p>
    <w:p w14:paraId="6E714441" w14:textId="18B82C40" w:rsidR="00A32BAD" w:rsidRDefault="00A32BAD" w:rsidP="00F07C58">
      <w:pPr>
        <w:pStyle w:val="ListParagraph"/>
        <w:numPr>
          <w:ilvl w:val="0"/>
          <w:numId w:val="38"/>
        </w:numPr>
      </w:pPr>
      <w:r w:rsidRPr="0016295F">
        <w:rPr>
          <w:b/>
          <w:bCs/>
        </w:rPr>
        <w:t>National monitoring sites for all types of environmental samples should be set</w:t>
      </w:r>
      <w:r w:rsidR="000A45A0">
        <w:rPr>
          <w:b/>
          <w:bCs/>
        </w:rPr>
        <w:t xml:space="preserve"> </w:t>
      </w:r>
      <w:r w:rsidRPr="0016295F">
        <w:rPr>
          <w:b/>
          <w:bCs/>
        </w:rPr>
        <w:t xml:space="preserve">up and coordinated internationally </w:t>
      </w:r>
      <w:r w:rsidR="000A45A0">
        <w:rPr>
          <w:b/>
          <w:bCs/>
        </w:rPr>
        <w:t xml:space="preserve">for </w:t>
      </w:r>
      <w:r w:rsidRPr="0016295F">
        <w:rPr>
          <w:b/>
          <w:bCs/>
        </w:rPr>
        <w:t>record</w:t>
      </w:r>
      <w:r w:rsidR="000A45A0">
        <w:rPr>
          <w:b/>
          <w:bCs/>
        </w:rPr>
        <w:t>ing</w:t>
      </w:r>
      <w:r w:rsidRPr="0016295F">
        <w:rPr>
          <w:b/>
          <w:bCs/>
        </w:rPr>
        <w:t xml:space="preserve"> changes to the geochemical baseline over time</w:t>
      </w:r>
      <w:r w:rsidRPr="0016295F">
        <w:t>. As global geochemical baseline mapping becomes established and</w:t>
      </w:r>
      <w:r w:rsidR="00312703">
        <w:t xml:space="preserve"> the</w:t>
      </w:r>
      <w:r w:rsidRPr="0016295F">
        <w:t xml:space="preserve"> record</w:t>
      </w:r>
      <w:r w:rsidR="00312703">
        <w:t>ed</w:t>
      </w:r>
      <w:r w:rsidRPr="0016295F">
        <w:t xml:space="preserve"> baselines covers many decades, applied geochemists </w:t>
      </w:r>
      <w:r w:rsidR="00312703">
        <w:t xml:space="preserve">must be </w:t>
      </w:r>
      <w:r w:rsidRPr="0016295F">
        <w:t xml:space="preserve">in a position to </w:t>
      </w:r>
      <w:r w:rsidRPr="0016295F">
        <w:lastRenderedPageBreak/>
        <w:t xml:space="preserve">monitor changes to the baseline with time. The data levelling procedures described here to combine results collected over a </w:t>
      </w:r>
      <w:r w:rsidR="00312703">
        <w:t xml:space="preserve">long </w:t>
      </w:r>
      <w:r w:rsidRPr="0016295F">
        <w:t xml:space="preserve">period assume that the geochemical baseline has remained the same. However, urbanisation and industrialisation do change the natural geochemical baseline (Johnson </w:t>
      </w:r>
      <w:r w:rsidR="00A26595" w:rsidRPr="00A26595">
        <w:rPr>
          <w:i/>
        </w:rPr>
        <w:t>et al.</w:t>
      </w:r>
      <w:r w:rsidRPr="0016295F">
        <w:t xml:space="preserve">, 2011), and more rapid climate change will also cause significant changes in the </w:t>
      </w:r>
      <w:r w:rsidR="001642E6">
        <w:t>foreseeable</w:t>
      </w:r>
      <w:r w:rsidR="001642E6" w:rsidRPr="0016295F">
        <w:t xml:space="preserve"> </w:t>
      </w:r>
      <w:r w:rsidRPr="0016295F">
        <w:t>future. It is, therefore, important that long-term national monitoring sites covering a range of environmental materials are set</w:t>
      </w:r>
      <w:r w:rsidR="00312703">
        <w:t xml:space="preserve"> </w:t>
      </w:r>
      <w:r w:rsidRPr="0016295F">
        <w:t xml:space="preserve">up and coordinated </w:t>
      </w:r>
      <w:r w:rsidR="00312703">
        <w:t>on</w:t>
      </w:r>
      <w:r w:rsidRPr="0016295F">
        <w:t xml:space="preserve"> a global scale. In this way</w:t>
      </w:r>
      <w:r w:rsidR="00312703">
        <w:t>,</w:t>
      </w:r>
      <w:r w:rsidRPr="0016295F">
        <w:t xml:space="preserve"> the process of levelling data between projects can be refined to include real changes to the geochemical baseline over time.</w:t>
      </w:r>
    </w:p>
    <w:p w14:paraId="227E1C58" w14:textId="17A5D802" w:rsidR="005A5CCD" w:rsidRDefault="005A5CCD" w:rsidP="005A5CCD">
      <w:pPr>
        <w:pStyle w:val="Heading2"/>
      </w:pPr>
      <w:bookmarkStart w:id="41" w:name="_Toc106354235"/>
      <w:r>
        <w:t xml:space="preserve">Supplementary </w:t>
      </w:r>
      <w:r w:rsidR="00F453DF">
        <w:t>material</w:t>
      </w:r>
      <w:bookmarkEnd w:id="41"/>
    </w:p>
    <w:p w14:paraId="43C43E48" w14:textId="0273F02A" w:rsidR="005A3449" w:rsidRDefault="00DD3FE1" w:rsidP="005A3449">
      <w:pPr>
        <w:pStyle w:val="BodyText"/>
      </w:pPr>
      <w:r>
        <w:t xml:space="preserve">The following </w:t>
      </w:r>
      <w:r w:rsidR="00F453DF">
        <w:t xml:space="preserve">MS Excel </w:t>
      </w:r>
      <w:r>
        <w:t xml:space="preserve">file can be downloaded from the </w:t>
      </w:r>
      <w:hyperlink r:id="rId38" w:history="1">
        <w:r w:rsidRPr="00214DDC">
          <w:rPr>
            <w:rStyle w:val="Hyperlink"/>
          </w:rPr>
          <w:t>Publications</w:t>
        </w:r>
      </w:hyperlink>
      <w:r>
        <w:t xml:space="preserve"> web page of the IUGS Commission on Global Geochemical Baselines:</w:t>
      </w:r>
    </w:p>
    <w:p w14:paraId="34D12059" w14:textId="77777777" w:rsidR="00493795" w:rsidRDefault="00493795" w:rsidP="005A3449">
      <w:pPr>
        <w:pStyle w:val="BodyText"/>
      </w:pPr>
    </w:p>
    <w:p w14:paraId="085355DE" w14:textId="416608FF" w:rsidR="005A3449" w:rsidRDefault="00493795" w:rsidP="00ED530A">
      <w:pPr>
        <w:pStyle w:val="ListParagraph"/>
        <w:numPr>
          <w:ilvl w:val="0"/>
          <w:numId w:val="40"/>
        </w:numPr>
        <w:ind w:left="1418" w:hanging="283"/>
      </w:pPr>
      <w:r>
        <w:rPr>
          <w:b/>
          <w:bCs/>
        </w:rPr>
        <w:t>IUGS-CGGB</w:t>
      </w:r>
      <w:r w:rsidR="005A3449" w:rsidRPr="00ED530A">
        <w:rPr>
          <w:b/>
          <w:bCs/>
        </w:rPr>
        <w:t>_Chapter</w:t>
      </w:r>
      <w:r w:rsidR="00942FCA">
        <w:rPr>
          <w:b/>
          <w:bCs/>
        </w:rPr>
        <w:t>-</w:t>
      </w:r>
      <w:r w:rsidR="005A3449" w:rsidRPr="00ED530A">
        <w:rPr>
          <w:b/>
          <w:bCs/>
        </w:rPr>
        <w:t>8_Examples</w:t>
      </w:r>
      <w:r w:rsidR="005A5CCD" w:rsidRPr="00ED530A">
        <w:rPr>
          <w:b/>
          <w:bCs/>
        </w:rPr>
        <w:t>.xls</w:t>
      </w:r>
      <w:r>
        <w:rPr>
          <w:b/>
          <w:bCs/>
        </w:rPr>
        <w:t>x</w:t>
      </w:r>
      <w:r w:rsidR="00214DDC">
        <w:t>.</w:t>
      </w:r>
    </w:p>
    <w:p w14:paraId="3B8F1978" w14:textId="4A59A03D" w:rsidR="00462771" w:rsidRPr="005A5CCD" w:rsidRDefault="00462771" w:rsidP="00462771">
      <w:pPr>
        <w:pStyle w:val="ListParagraph"/>
        <w:ind w:left="1446" w:hanging="720"/>
      </w:pPr>
      <w:r>
        <w:t xml:space="preserve">           The MS Excel file contains the data for plotting Figures 8.5, 8.6, 8.7, 8.8, 8.9 and 8.12.</w:t>
      </w:r>
    </w:p>
    <w:p w14:paraId="2F1F9FEC" w14:textId="77777777" w:rsidR="00C6595C" w:rsidRDefault="00C6595C" w:rsidP="00C6595C">
      <w:pPr>
        <w:pStyle w:val="BodyText"/>
      </w:pPr>
    </w:p>
    <w:p w14:paraId="63021D29" w14:textId="419C957C" w:rsidR="00C6595C" w:rsidRDefault="00C6595C" w:rsidP="00C6595C">
      <w:pPr>
        <w:pStyle w:val="BodyText"/>
      </w:pPr>
      <w:r>
        <w:t>The MS Excel file with the DUPREPPLOT routine is included in the Supplementary material of Chapter 7.</w:t>
      </w:r>
    </w:p>
    <w:p w14:paraId="0A545F50" w14:textId="2D6A0667" w:rsidR="00EC62FB" w:rsidRPr="000A0A6B" w:rsidRDefault="00EC62FB" w:rsidP="005B49E6">
      <w:pPr>
        <w:pStyle w:val="Heading2"/>
      </w:pPr>
      <w:bookmarkStart w:id="42" w:name="_Toc92056821"/>
      <w:bookmarkStart w:id="43" w:name="_Toc92056919"/>
      <w:bookmarkStart w:id="44" w:name="_Toc106354236"/>
      <w:r w:rsidRPr="000A0A6B">
        <w:t>R</w:t>
      </w:r>
      <w:bookmarkEnd w:id="42"/>
      <w:r w:rsidR="00680CE1">
        <w:t>eferences</w:t>
      </w:r>
      <w:bookmarkEnd w:id="43"/>
      <w:bookmarkEnd w:id="44"/>
    </w:p>
    <w:p w14:paraId="5379FB26" w14:textId="5BAFC185" w:rsidR="007C4CC9" w:rsidRDefault="007C4CC9" w:rsidP="0016295F">
      <w:pPr>
        <w:pStyle w:val="References"/>
      </w:pPr>
      <w:r w:rsidRPr="007C4CC9">
        <w:rPr>
          <w:u w:val="single"/>
        </w:rPr>
        <w:t>Note</w:t>
      </w:r>
      <w:r>
        <w:t xml:space="preserve">: All hyperlinks </w:t>
      </w:r>
      <w:r w:rsidR="00C6595C">
        <w:t xml:space="preserve">were </w:t>
      </w:r>
      <w:r>
        <w:t>checked on the 30</w:t>
      </w:r>
      <w:r w:rsidRPr="007C4CC9">
        <w:rPr>
          <w:vertAlign w:val="superscript"/>
        </w:rPr>
        <w:t>th</w:t>
      </w:r>
      <w:r>
        <w:t xml:space="preserve"> of January 2022.</w:t>
      </w:r>
    </w:p>
    <w:p w14:paraId="37E2BD2D" w14:textId="77777777" w:rsidR="007C4CC9" w:rsidRDefault="007C4CC9" w:rsidP="0016295F">
      <w:pPr>
        <w:pStyle w:val="References"/>
      </w:pPr>
    </w:p>
    <w:p w14:paraId="6F605A99" w14:textId="09FD3F81" w:rsidR="0016295F" w:rsidRPr="004F3D51" w:rsidRDefault="0016295F" w:rsidP="0016295F">
      <w:pPr>
        <w:pStyle w:val="References"/>
        <w:rPr>
          <w:sz w:val="22"/>
        </w:rPr>
      </w:pPr>
      <w:r w:rsidRPr="004F3D51">
        <w:rPr>
          <w:sz w:val="22"/>
        </w:rPr>
        <w:t>AMC</w:t>
      </w:r>
      <w:r w:rsidR="00EE0EF1" w:rsidRPr="004F3D51">
        <w:rPr>
          <w:sz w:val="22"/>
        </w:rPr>
        <w:t xml:space="preserve">, </w:t>
      </w:r>
      <w:r w:rsidRPr="004F3D51">
        <w:rPr>
          <w:sz w:val="22"/>
        </w:rPr>
        <w:t xml:space="preserve">2001a. What should be done with results below the detection limit? Mentioning the unmentionable. AMC (Analytical Methods Committee) Technical Brief No 5. Royal Society of Chemistry, United Kingdom, 2 pp.; </w:t>
      </w:r>
      <w:hyperlink r:id="rId39" w:history="1">
        <w:r w:rsidR="00DB675F" w:rsidRPr="004F3D51">
          <w:rPr>
            <w:rStyle w:val="Hyperlink"/>
            <w:sz w:val="22"/>
          </w:rPr>
          <w:t>https://www.rsc.org/images/results-below-detection-limit-technical-brief-5_tcm18-214854.pdf</w:t>
        </w:r>
      </w:hyperlink>
      <w:r w:rsidRPr="004F3D51">
        <w:rPr>
          <w:sz w:val="22"/>
        </w:rPr>
        <w:t>.</w:t>
      </w:r>
    </w:p>
    <w:p w14:paraId="5E80852F" w14:textId="46CE90F8" w:rsidR="0016295F" w:rsidRPr="004F3D51" w:rsidRDefault="0016295F" w:rsidP="0016295F">
      <w:pPr>
        <w:pStyle w:val="References"/>
        <w:rPr>
          <w:sz w:val="22"/>
        </w:rPr>
      </w:pPr>
      <w:r w:rsidRPr="004F3D51">
        <w:rPr>
          <w:sz w:val="22"/>
        </w:rPr>
        <w:t>AMC</w:t>
      </w:r>
      <w:r w:rsidR="00EE0EF1" w:rsidRPr="004F3D51">
        <w:rPr>
          <w:sz w:val="22"/>
        </w:rPr>
        <w:t xml:space="preserve">, </w:t>
      </w:r>
      <w:r w:rsidRPr="004F3D51">
        <w:rPr>
          <w:sz w:val="22"/>
        </w:rPr>
        <w:t>2001b. Measurement of near zero concentration: recording and reporting results that fall close to or below the detection limit. Analyst, 126, 256</w:t>
      </w:r>
      <w:r w:rsidR="009C64E0" w:rsidRPr="004F3D51">
        <w:rPr>
          <w:rFonts w:cs="Times New Roman"/>
          <w:sz w:val="22"/>
        </w:rPr>
        <w:t>−</w:t>
      </w:r>
      <w:r w:rsidRPr="004F3D51">
        <w:rPr>
          <w:sz w:val="22"/>
        </w:rPr>
        <w:t xml:space="preserve">259; </w:t>
      </w:r>
      <w:hyperlink r:id="rId40" w:history="1">
        <w:r w:rsidRPr="004F3D51">
          <w:rPr>
            <w:rStyle w:val="Hyperlink"/>
            <w:sz w:val="22"/>
          </w:rPr>
          <w:t>https://doi.org/10.1039/b009590g</w:t>
        </w:r>
      </w:hyperlink>
      <w:r w:rsidRPr="004F3D51">
        <w:rPr>
          <w:sz w:val="22"/>
        </w:rPr>
        <w:t>.</w:t>
      </w:r>
    </w:p>
    <w:p w14:paraId="7BFCBE4E" w14:textId="4C495C01" w:rsidR="000F2114" w:rsidRPr="004F3D51" w:rsidRDefault="000F2114" w:rsidP="0016295F">
      <w:pPr>
        <w:pStyle w:val="References"/>
        <w:rPr>
          <w:sz w:val="22"/>
        </w:rPr>
      </w:pPr>
      <w:r w:rsidRPr="004F3D51">
        <w:rPr>
          <w:sz w:val="22"/>
        </w:rPr>
        <w:t>Amor,</w:t>
      </w:r>
      <w:r w:rsidR="004F3B16" w:rsidRPr="004F3D51">
        <w:rPr>
          <w:sz w:val="22"/>
        </w:rPr>
        <w:t xml:space="preserve"> S., McCurdy, M. &amp; Garrett, R., </w:t>
      </w:r>
      <w:r w:rsidRPr="004F3D51">
        <w:rPr>
          <w:sz w:val="22"/>
        </w:rPr>
        <w:t>2019. Creation of an atlas of lake-sediment geochemistry of Western Labrador and Northeastern Québec. Geochemistry: Exploration, Environment, Analysis, 19, 369</w:t>
      </w:r>
      <w:r w:rsidR="008C673A" w:rsidRPr="004F3D51">
        <w:rPr>
          <w:rFonts w:cs="Times New Roman"/>
          <w:sz w:val="22"/>
        </w:rPr>
        <w:t>−</w:t>
      </w:r>
      <w:r w:rsidRPr="004F3D51">
        <w:rPr>
          <w:sz w:val="22"/>
        </w:rPr>
        <w:t>393</w:t>
      </w:r>
      <w:r w:rsidR="008C673A" w:rsidRPr="004F3D51">
        <w:rPr>
          <w:sz w:val="22"/>
        </w:rPr>
        <w:t>;</w:t>
      </w:r>
      <w:r w:rsidRPr="004F3D51">
        <w:rPr>
          <w:sz w:val="22"/>
        </w:rPr>
        <w:t xml:space="preserve"> </w:t>
      </w:r>
      <w:hyperlink r:id="rId41" w:history="1">
        <w:r w:rsidRPr="004F3D51">
          <w:rPr>
            <w:rStyle w:val="Hyperlink"/>
            <w:rFonts w:cs="Times New Roman"/>
            <w:color w:val="0000CC"/>
            <w:sz w:val="22"/>
            <w:lang w:eastAsia="en-GB"/>
          </w:rPr>
          <w:t>https://doi.org/10.1144/geochem2018-061</w:t>
        </w:r>
      </w:hyperlink>
      <w:r w:rsidRPr="004F3D51">
        <w:rPr>
          <w:rFonts w:cs="Times New Roman"/>
          <w:color w:val="2E3093"/>
          <w:sz w:val="22"/>
          <w:lang w:eastAsia="en-GB"/>
        </w:rPr>
        <w:t>.</w:t>
      </w:r>
    </w:p>
    <w:p w14:paraId="0382419B" w14:textId="110D9309" w:rsidR="0016295F" w:rsidRPr="004F3D51" w:rsidRDefault="0016295F" w:rsidP="0016295F">
      <w:pPr>
        <w:pStyle w:val="References"/>
        <w:rPr>
          <w:color w:val="231F20"/>
          <w:sz w:val="22"/>
        </w:rPr>
      </w:pPr>
      <w:r w:rsidRPr="004F3D51">
        <w:rPr>
          <w:color w:val="231F20"/>
          <w:sz w:val="22"/>
        </w:rPr>
        <w:t>Blake, L., Goulding, K.W.T., Mott, C.J.B. &amp; Johnston, A.E</w:t>
      </w:r>
      <w:r w:rsidR="00EE0EF1" w:rsidRPr="004F3D51">
        <w:rPr>
          <w:color w:val="231F20"/>
          <w:sz w:val="22"/>
        </w:rPr>
        <w:t xml:space="preserve">., </w:t>
      </w:r>
      <w:r w:rsidRPr="004F3D51">
        <w:rPr>
          <w:color w:val="231F20"/>
          <w:sz w:val="22"/>
        </w:rPr>
        <w:t xml:space="preserve">1999. Changes in soil chemistry accompanying acidification over more than 100 years under woodland and grass at Rothamsted Experimental Station, UK. European Journal of Soil Science, </w:t>
      </w:r>
      <w:r w:rsidRPr="004F3D51">
        <w:rPr>
          <w:bCs/>
          <w:color w:val="231F20"/>
          <w:sz w:val="22"/>
        </w:rPr>
        <w:t>50</w:t>
      </w:r>
      <w:r w:rsidRPr="004F3D51">
        <w:rPr>
          <w:color w:val="231F20"/>
          <w:sz w:val="22"/>
        </w:rPr>
        <w:t>, 401</w:t>
      </w:r>
      <w:r w:rsidR="008C673A" w:rsidRPr="004F3D51">
        <w:rPr>
          <w:rFonts w:cs="Times New Roman"/>
          <w:color w:val="231F20"/>
          <w:sz w:val="22"/>
        </w:rPr>
        <w:t>−</w:t>
      </w:r>
      <w:r w:rsidRPr="004F3D51">
        <w:rPr>
          <w:color w:val="231F20"/>
          <w:sz w:val="22"/>
        </w:rPr>
        <w:t xml:space="preserve">412; </w:t>
      </w:r>
      <w:hyperlink r:id="rId42" w:history="1">
        <w:r w:rsidRPr="004F3D51">
          <w:rPr>
            <w:rStyle w:val="Hyperlink"/>
            <w:sz w:val="22"/>
          </w:rPr>
          <w:t>https://doi.org/10.1046/j.1365-2389.1999.00253.x</w:t>
        </w:r>
      </w:hyperlink>
      <w:r w:rsidRPr="004F3D51">
        <w:rPr>
          <w:color w:val="231F20"/>
          <w:sz w:val="22"/>
        </w:rPr>
        <w:t>.</w:t>
      </w:r>
    </w:p>
    <w:p w14:paraId="371B8F81" w14:textId="1D12A2DA" w:rsidR="0016295F" w:rsidRPr="004F3D51" w:rsidRDefault="00000000" w:rsidP="0016295F">
      <w:pPr>
        <w:pStyle w:val="References"/>
        <w:rPr>
          <w:color w:val="767676"/>
          <w:sz w:val="22"/>
        </w:rPr>
      </w:pPr>
      <w:hyperlink r:id="rId43" w:tooltip="H. E. Bowley" w:history="1">
        <w:r w:rsidR="0016295F" w:rsidRPr="004F3D51">
          <w:rPr>
            <w:rStyle w:val="author-style"/>
            <w:rFonts w:cs="Times New Roman"/>
            <w:sz w:val="22"/>
          </w:rPr>
          <w:t>Bowley</w:t>
        </w:r>
      </w:hyperlink>
      <w:r w:rsidR="0016295F" w:rsidRPr="004F3D51">
        <w:rPr>
          <w:sz w:val="22"/>
        </w:rPr>
        <w:t>, H.E.,</w:t>
      </w:r>
      <w:hyperlink r:id="rId44" w:tooltip="A. W. Mathers" w:history="1">
        <w:r w:rsidR="0016295F" w:rsidRPr="004F3D51">
          <w:rPr>
            <w:rStyle w:val="author-style"/>
            <w:rFonts w:cs="Times New Roman"/>
            <w:sz w:val="22"/>
          </w:rPr>
          <w:t xml:space="preserve"> Mathers</w:t>
        </w:r>
      </w:hyperlink>
      <w:r w:rsidR="0016295F" w:rsidRPr="004F3D51">
        <w:rPr>
          <w:sz w:val="22"/>
        </w:rPr>
        <w:t>, A.W.,</w:t>
      </w:r>
      <w:hyperlink r:id="rId45" w:tooltip="S. D. Young" w:history="1">
        <w:r w:rsidR="0016295F" w:rsidRPr="004F3D51">
          <w:rPr>
            <w:rStyle w:val="author-style"/>
            <w:rFonts w:cs="Times New Roman"/>
            <w:sz w:val="22"/>
          </w:rPr>
          <w:t xml:space="preserve"> Young</w:t>
        </w:r>
      </w:hyperlink>
      <w:r w:rsidR="0016295F" w:rsidRPr="004F3D51">
        <w:rPr>
          <w:sz w:val="22"/>
        </w:rPr>
        <w:t xml:space="preserve">, S.D., </w:t>
      </w:r>
      <w:hyperlink r:id="rId46" w:tooltip="A. J. Macdonald" w:history="1">
        <w:r w:rsidR="0016295F" w:rsidRPr="004F3D51">
          <w:rPr>
            <w:rStyle w:val="author-style"/>
            <w:rFonts w:cs="Times New Roman"/>
            <w:sz w:val="22"/>
          </w:rPr>
          <w:t>Macdonald</w:t>
        </w:r>
      </w:hyperlink>
      <w:r w:rsidR="0016295F" w:rsidRPr="004F3D51">
        <w:rPr>
          <w:sz w:val="22"/>
        </w:rPr>
        <w:t xml:space="preserve">, A.J., </w:t>
      </w:r>
      <w:hyperlink r:id="rId47" w:tooltip="E. L. Ander" w:history="1">
        <w:r w:rsidR="0016295F" w:rsidRPr="004F3D51">
          <w:rPr>
            <w:rStyle w:val="author-style"/>
            <w:rFonts w:cs="Times New Roman"/>
            <w:sz w:val="22"/>
          </w:rPr>
          <w:t>Ander</w:t>
        </w:r>
      </w:hyperlink>
      <w:r w:rsidR="0016295F" w:rsidRPr="004F3D51">
        <w:rPr>
          <w:sz w:val="22"/>
        </w:rPr>
        <w:t xml:space="preserve">, E.L., </w:t>
      </w:r>
      <w:hyperlink r:id="rId48" w:tooltip="M. J. Watts" w:history="1">
        <w:r w:rsidR="0016295F" w:rsidRPr="004F3D51">
          <w:rPr>
            <w:rStyle w:val="author-style"/>
            <w:rFonts w:cs="Times New Roman"/>
            <w:sz w:val="22"/>
          </w:rPr>
          <w:t>Watts</w:t>
        </w:r>
      </w:hyperlink>
      <w:r w:rsidR="0016295F" w:rsidRPr="004F3D51">
        <w:rPr>
          <w:sz w:val="22"/>
        </w:rPr>
        <w:t xml:space="preserve">, M.J., </w:t>
      </w:r>
      <w:hyperlink r:id="rId49" w:tooltip="F. J. Zhao" w:history="1">
        <w:r w:rsidR="0016295F" w:rsidRPr="004F3D51">
          <w:rPr>
            <w:rStyle w:val="author-style"/>
            <w:rFonts w:cs="Times New Roman"/>
            <w:sz w:val="22"/>
          </w:rPr>
          <w:t xml:space="preserve"> Zhao</w:t>
        </w:r>
      </w:hyperlink>
      <w:r w:rsidR="0016295F" w:rsidRPr="004F3D51">
        <w:rPr>
          <w:sz w:val="22"/>
        </w:rPr>
        <w:t xml:space="preserve">, F.J., </w:t>
      </w:r>
      <w:hyperlink r:id="rId50" w:tooltip="S. P. McGrath" w:history="1">
        <w:r w:rsidR="0016295F" w:rsidRPr="004F3D51">
          <w:rPr>
            <w:rStyle w:val="author-style"/>
            <w:rFonts w:cs="Times New Roman"/>
            <w:sz w:val="22"/>
          </w:rPr>
          <w:t>McGrath</w:t>
        </w:r>
      </w:hyperlink>
      <w:r w:rsidR="0016295F" w:rsidRPr="004F3D51">
        <w:rPr>
          <w:sz w:val="22"/>
        </w:rPr>
        <w:t xml:space="preserve">, S.P., </w:t>
      </w:r>
      <w:hyperlink r:id="rId51" w:tooltip="N. M. J. Crout" w:history="1">
        <w:r w:rsidR="0016295F" w:rsidRPr="004F3D51">
          <w:rPr>
            <w:rStyle w:val="author-style"/>
            <w:rFonts w:cs="Times New Roman"/>
            <w:sz w:val="22"/>
          </w:rPr>
          <w:t>Crout</w:t>
        </w:r>
      </w:hyperlink>
      <w:r w:rsidR="0016295F" w:rsidRPr="004F3D51">
        <w:rPr>
          <w:sz w:val="22"/>
        </w:rPr>
        <w:t>, N.M.J. &amp;</w:t>
      </w:r>
      <w:r w:rsidR="00EE0EF1" w:rsidRPr="004F3D51">
        <w:rPr>
          <w:sz w:val="22"/>
        </w:rPr>
        <w:t xml:space="preserve"> </w:t>
      </w:r>
      <w:hyperlink r:id="rId52" w:tooltip="E. H. Bailey" w:history="1">
        <w:r w:rsidR="0016295F" w:rsidRPr="004F3D51">
          <w:rPr>
            <w:rStyle w:val="author-style"/>
            <w:rFonts w:cs="Times New Roman"/>
            <w:sz w:val="22"/>
          </w:rPr>
          <w:t>Bailey</w:t>
        </w:r>
      </w:hyperlink>
      <w:r w:rsidR="0016295F" w:rsidRPr="004F3D51">
        <w:rPr>
          <w:sz w:val="22"/>
        </w:rPr>
        <w:t>, E.H., 2017. Historical trends in iodine and selenium in soil and herbage at the Park Grass Experiment. Soil Use and Management, 33(2), 252</w:t>
      </w:r>
      <w:r w:rsidR="008C673A" w:rsidRPr="004F3D51">
        <w:rPr>
          <w:rFonts w:cs="Times New Roman"/>
          <w:sz w:val="22"/>
        </w:rPr>
        <w:t>−</w:t>
      </w:r>
      <w:r w:rsidR="0016295F" w:rsidRPr="004F3D51">
        <w:rPr>
          <w:sz w:val="22"/>
        </w:rPr>
        <w:t xml:space="preserve">262; </w:t>
      </w:r>
      <w:hyperlink r:id="rId53" w:history="1">
        <w:r w:rsidR="005C796C" w:rsidRPr="004F3D51">
          <w:rPr>
            <w:rStyle w:val="Hyperlink"/>
            <w:rFonts w:cs="Times New Roman"/>
            <w:sz w:val="22"/>
          </w:rPr>
          <w:t>https://doi.org/10.1111/sum.12343</w:t>
        </w:r>
      </w:hyperlink>
      <w:r w:rsidR="0016295F" w:rsidRPr="004F3D51">
        <w:rPr>
          <w:color w:val="767676"/>
          <w:sz w:val="22"/>
        </w:rPr>
        <w:t>.</w:t>
      </w:r>
    </w:p>
    <w:p w14:paraId="50947987" w14:textId="725E3859" w:rsidR="007478B9" w:rsidRPr="004F3D51" w:rsidRDefault="007478B9" w:rsidP="0016295F">
      <w:pPr>
        <w:pStyle w:val="References"/>
        <w:rPr>
          <w:sz w:val="22"/>
        </w:rPr>
      </w:pPr>
      <w:r w:rsidRPr="004F3D51">
        <w:rPr>
          <w:sz w:val="22"/>
        </w:rPr>
        <w:t xml:space="preserve">Church, B.M. &amp; Skinner, R.J., 1986. The pH and nutrient status of agricultural soils in England and Wales, 1969–1983. Journal of Agricultural Science, 107(1), 21–28; </w:t>
      </w:r>
      <w:hyperlink r:id="rId54" w:history="1">
        <w:r w:rsidRPr="004F3D51">
          <w:rPr>
            <w:rStyle w:val="Hyperlink"/>
            <w:sz w:val="22"/>
          </w:rPr>
          <w:t>https://doi.org/10.1017/S0021859600066752</w:t>
        </w:r>
      </w:hyperlink>
      <w:r w:rsidRPr="004F3D51">
        <w:rPr>
          <w:sz w:val="22"/>
        </w:rPr>
        <w:t>.</w:t>
      </w:r>
    </w:p>
    <w:p w14:paraId="6BB0437B" w14:textId="758A2AAF" w:rsidR="00E9607A" w:rsidRPr="004F3D51" w:rsidRDefault="00E9607A" w:rsidP="0016295F">
      <w:pPr>
        <w:pStyle w:val="References"/>
        <w:rPr>
          <w:color w:val="FF0000"/>
          <w:sz w:val="22"/>
        </w:rPr>
      </w:pPr>
      <w:r w:rsidRPr="004F3D51">
        <w:rPr>
          <w:sz w:val="22"/>
        </w:rPr>
        <w:t>Daneshfar, B. &amp; Cameron, E.</w:t>
      </w:r>
      <w:r w:rsidR="0031593A" w:rsidRPr="004F3D51">
        <w:rPr>
          <w:sz w:val="22"/>
        </w:rPr>
        <w:t>,</w:t>
      </w:r>
      <w:r w:rsidRPr="004F3D51">
        <w:rPr>
          <w:sz w:val="22"/>
        </w:rPr>
        <w:t xml:space="preserve"> 1998.</w:t>
      </w:r>
      <w:r w:rsidR="005C796C" w:rsidRPr="004F3D51">
        <w:rPr>
          <w:sz w:val="22"/>
        </w:rPr>
        <w:t xml:space="preserve"> Leveling geochemical data between map sheets.</w:t>
      </w:r>
      <w:r w:rsidR="00621110" w:rsidRPr="004F3D51">
        <w:rPr>
          <w:sz w:val="22"/>
        </w:rPr>
        <w:t xml:space="preserve"> Journal of Geochemical Exploration. 63, 189</w:t>
      </w:r>
      <w:r w:rsidR="008C673A" w:rsidRPr="004F3D51">
        <w:rPr>
          <w:rFonts w:cs="Times New Roman"/>
          <w:sz w:val="22"/>
        </w:rPr>
        <w:t>−</w:t>
      </w:r>
      <w:r w:rsidR="00621110" w:rsidRPr="004F3D51">
        <w:rPr>
          <w:sz w:val="22"/>
        </w:rPr>
        <w:t>201</w:t>
      </w:r>
      <w:r w:rsidR="00D87DE4" w:rsidRPr="004F3D51">
        <w:rPr>
          <w:sz w:val="22"/>
        </w:rPr>
        <w:t>;</w:t>
      </w:r>
      <w:r w:rsidR="00621110" w:rsidRPr="004F3D51">
        <w:rPr>
          <w:color w:val="FF0000"/>
          <w:sz w:val="22"/>
        </w:rPr>
        <w:t xml:space="preserve"> </w:t>
      </w:r>
      <w:hyperlink r:id="rId55" w:tgtFrame="_blank" w:tooltip="Persistent link using digital object identifier" w:history="1">
        <w:r w:rsidR="004F4499" w:rsidRPr="004F3D51">
          <w:rPr>
            <w:rStyle w:val="Hyperlink"/>
            <w:rFonts w:cs="Times New Roman"/>
            <w:color w:val="0000CC"/>
            <w:sz w:val="22"/>
          </w:rPr>
          <w:t>https://doi.org/10.1016/S0375-6742(98)00015-6</w:t>
        </w:r>
      </w:hyperlink>
      <w:r w:rsidR="004F4499" w:rsidRPr="004F3D51">
        <w:rPr>
          <w:rFonts w:cs="Times New Roman"/>
          <w:color w:val="0000CC"/>
          <w:sz w:val="22"/>
        </w:rPr>
        <w:t xml:space="preserve"> </w:t>
      </w:r>
      <w:r w:rsidR="004F4499" w:rsidRPr="004F3D51">
        <w:rPr>
          <w:sz w:val="22"/>
        </w:rPr>
        <w:t>.</w:t>
      </w:r>
    </w:p>
    <w:p w14:paraId="61C703B6" w14:textId="50330EFE" w:rsidR="00357B11" w:rsidRPr="004F3D51" w:rsidRDefault="0016295F" w:rsidP="0016295F">
      <w:pPr>
        <w:pStyle w:val="References"/>
        <w:rPr>
          <w:sz w:val="22"/>
        </w:rPr>
      </w:pPr>
      <w:r w:rsidRPr="004F3D51">
        <w:rPr>
          <w:sz w:val="22"/>
        </w:rPr>
        <w:t>Darnley, A.G., Bjorklund, A., B</w:t>
      </w:r>
      <w:r w:rsidR="0031593A" w:rsidRPr="004F3D51">
        <w:rPr>
          <w:rFonts w:cs="Times New Roman"/>
          <w:sz w:val="22"/>
        </w:rPr>
        <w:t>ø</w:t>
      </w:r>
      <w:r w:rsidRPr="004F3D51">
        <w:rPr>
          <w:sz w:val="22"/>
        </w:rPr>
        <w:t>lviken, B., Gustavsson, N., Koval, P.V., Plant, J.A., Steenfelt, A., Tauchid, M., Xuejing, X., Garrett, R.G. &amp; Hall, G.E.M., 1995. A Global Geochemical Database for Environmental and Resource Management. Recommendations for International Geochemical Mapping – Final Report of IGCP Project 259. Earth Science Report 19.UNESCO Publishing, Paris, 122 pp</w:t>
      </w:r>
      <w:r w:rsidR="00EE0EF1" w:rsidRPr="004F3D51">
        <w:rPr>
          <w:sz w:val="22"/>
        </w:rPr>
        <w:t>.</w:t>
      </w:r>
      <w:r w:rsidRPr="004F3D51">
        <w:rPr>
          <w:sz w:val="22"/>
        </w:rPr>
        <w:t>;</w:t>
      </w:r>
      <w:r w:rsidR="00357B11" w:rsidRPr="004F3D51">
        <w:rPr>
          <w:sz w:val="22"/>
        </w:rPr>
        <w:t xml:space="preserve"> </w:t>
      </w:r>
      <w:hyperlink r:id="rId56" w:history="1">
        <w:r w:rsidR="00357B11" w:rsidRPr="004F3D51">
          <w:rPr>
            <w:rStyle w:val="Hyperlink"/>
            <w:sz w:val="22"/>
          </w:rPr>
          <w:t>http://globalgeochemicalbaselines.eu.176-31-41-129.hs-servers.gr/datafiles/file/Blue_Book_GGD_IGCP259.pdf</w:t>
        </w:r>
      </w:hyperlink>
      <w:r w:rsidR="00357B11" w:rsidRPr="004F3D51">
        <w:rPr>
          <w:sz w:val="22"/>
        </w:rPr>
        <w:t>.</w:t>
      </w:r>
    </w:p>
    <w:p w14:paraId="0C35F8CE" w14:textId="12671DAA" w:rsidR="0016295F" w:rsidRPr="004F3D51" w:rsidRDefault="0016295F" w:rsidP="0016295F">
      <w:pPr>
        <w:pStyle w:val="References"/>
        <w:rPr>
          <w:sz w:val="22"/>
        </w:rPr>
      </w:pPr>
      <w:r w:rsidRPr="004F3D51">
        <w:rPr>
          <w:rStyle w:val="personname"/>
          <w:rFonts w:cs="Times New Roman"/>
          <w:bCs/>
          <w:color w:val="000000"/>
          <w:sz w:val="22"/>
          <w:shd w:val="clear" w:color="auto" w:fill="FFFFFF"/>
        </w:rPr>
        <w:lastRenderedPageBreak/>
        <w:t>Everett, P.A.</w:t>
      </w:r>
      <w:r w:rsidRPr="004F3D51">
        <w:rPr>
          <w:color w:val="000000"/>
          <w:sz w:val="22"/>
          <w:shd w:val="clear" w:color="auto" w:fill="FFFFFF"/>
        </w:rPr>
        <w:t>, </w:t>
      </w:r>
      <w:r w:rsidRPr="004F3D51">
        <w:rPr>
          <w:rStyle w:val="personname"/>
          <w:rFonts w:cs="Times New Roman"/>
          <w:bCs/>
          <w:color w:val="000000"/>
          <w:sz w:val="22"/>
          <w:shd w:val="clear" w:color="auto" w:fill="FFFFFF"/>
        </w:rPr>
        <w:t>Lister, T.R.</w:t>
      </w:r>
      <w:r w:rsidRPr="004F3D51">
        <w:rPr>
          <w:color w:val="000000"/>
          <w:sz w:val="22"/>
          <w:shd w:val="clear" w:color="auto" w:fill="FFFFFF"/>
        </w:rPr>
        <w:t>, </w:t>
      </w:r>
      <w:r w:rsidRPr="004F3D51">
        <w:rPr>
          <w:rStyle w:val="personname"/>
          <w:rFonts w:cs="Times New Roman"/>
          <w:bCs/>
          <w:color w:val="000000"/>
          <w:sz w:val="22"/>
          <w:shd w:val="clear" w:color="auto" w:fill="FFFFFF"/>
        </w:rPr>
        <w:t>Fordyce, F.M.</w:t>
      </w:r>
      <w:r w:rsidRPr="004F3D51">
        <w:rPr>
          <w:color w:val="000000"/>
          <w:sz w:val="22"/>
          <w:shd w:val="clear" w:color="auto" w:fill="FFFFFF"/>
        </w:rPr>
        <w:t>, </w:t>
      </w:r>
      <w:r w:rsidRPr="004F3D51">
        <w:rPr>
          <w:rStyle w:val="personname"/>
          <w:rFonts w:cs="Times New Roman"/>
          <w:bCs/>
          <w:color w:val="000000"/>
          <w:sz w:val="22"/>
          <w:shd w:val="clear" w:color="auto" w:fill="FFFFFF"/>
        </w:rPr>
        <w:t>Ferreira, A.M.P.J.</w:t>
      </w:r>
      <w:r w:rsidRPr="004F3D51">
        <w:rPr>
          <w:color w:val="000000"/>
          <w:sz w:val="22"/>
          <w:shd w:val="clear" w:color="auto" w:fill="FFFFFF"/>
        </w:rPr>
        <w:t>, </w:t>
      </w:r>
      <w:r w:rsidRPr="004F3D51">
        <w:rPr>
          <w:rStyle w:val="personname"/>
          <w:rFonts w:cs="Times New Roman"/>
          <w:bCs/>
          <w:color w:val="000000"/>
          <w:sz w:val="22"/>
          <w:shd w:val="clear" w:color="auto" w:fill="FFFFFF"/>
        </w:rPr>
        <w:t>Donald, A.W.</w:t>
      </w:r>
      <w:r w:rsidRPr="004F3D51">
        <w:rPr>
          <w:color w:val="000000"/>
          <w:sz w:val="22"/>
          <w:shd w:val="clear" w:color="auto" w:fill="FFFFFF"/>
        </w:rPr>
        <w:t xml:space="preserve">, </w:t>
      </w:r>
      <w:r w:rsidRPr="004F3D51">
        <w:rPr>
          <w:rStyle w:val="personname"/>
          <w:rFonts w:cs="Times New Roman"/>
          <w:bCs/>
          <w:color w:val="000000"/>
          <w:sz w:val="22"/>
          <w:shd w:val="clear" w:color="auto" w:fill="FFFFFF"/>
        </w:rPr>
        <w:t>Gowing, C.J.B.</w:t>
      </w:r>
      <w:r w:rsidRPr="004F3D51">
        <w:rPr>
          <w:color w:val="000000"/>
          <w:sz w:val="22"/>
          <w:shd w:val="clear" w:color="auto" w:fill="FFFFFF"/>
        </w:rPr>
        <w:t>&amp; </w:t>
      </w:r>
      <w:r w:rsidRPr="004F3D51">
        <w:rPr>
          <w:rStyle w:val="personname"/>
          <w:rFonts w:cs="Times New Roman"/>
          <w:bCs/>
          <w:color w:val="000000"/>
          <w:sz w:val="22"/>
          <w:shd w:val="clear" w:color="auto" w:fill="FFFFFF"/>
        </w:rPr>
        <w:t>Lawley, R.S.</w:t>
      </w:r>
      <w:r w:rsidRPr="004F3D51">
        <w:rPr>
          <w:color w:val="000000"/>
          <w:sz w:val="22"/>
          <w:shd w:val="clear" w:color="auto" w:fill="FFFFFF"/>
        </w:rPr>
        <w:t>, 2019</w:t>
      </w:r>
      <w:r w:rsidR="00DB675F" w:rsidRPr="004F3D51">
        <w:rPr>
          <w:color w:val="000000"/>
          <w:sz w:val="22"/>
          <w:shd w:val="clear" w:color="auto" w:fill="FFFFFF"/>
        </w:rPr>
        <w:t xml:space="preserve">. </w:t>
      </w:r>
      <w:r w:rsidRPr="004F3D51">
        <w:rPr>
          <w:rStyle w:val="Emphasis"/>
          <w:rFonts w:cs="Times New Roman"/>
          <w:i w:val="0"/>
          <w:iCs w:val="0"/>
          <w:color w:val="000000"/>
          <w:sz w:val="22"/>
          <w:shd w:val="clear" w:color="auto" w:fill="FFFFFF"/>
        </w:rPr>
        <w:t>Stream sediment geochemical atlas of the United Kingdom</w:t>
      </w:r>
      <w:r w:rsidRPr="004F3D51">
        <w:rPr>
          <w:rStyle w:val="Emphasis"/>
          <w:rFonts w:cs="Times New Roman"/>
          <w:color w:val="000000"/>
          <w:sz w:val="22"/>
          <w:shd w:val="clear" w:color="auto" w:fill="FFFFFF"/>
        </w:rPr>
        <w:t>.</w:t>
      </w:r>
      <w:r w:rsidRPr="004F3D51">
        <w:rPr>
          <w:color w:val="000000"/>
          <w:sz w:val="22"/>
          <w:shd w:val="clear" w:color="auto" w:fill="FFFFFF"/>
        </w:rPr>
        <w:t>  British Geological Survey, OR/18/048, Keyworth, Nottingham, 94 pp.</w:t>
      </w:r>
      <w:r w:rsidR="00EE0EF1" w:rsidRPr="004F3D51">
        <w:rPr>
          <w:color w:val="000000"/>
          <w:sz w:val="22"/>
          <w:shd w:val="clear" w:color="auto" w:fill="FFFFFF"/>
        </w:rPr>
        <w:t>;</w:t>
      </w:r>
      <w:r w:rsidRPr="004F3D51">
        <w:rPr>
          <w:color w:val="000000"/>
          <w:sz w:val="22"/>
          <w:shd w:val="clear" w:color="auto" w:fill="FFFFFF"/>
        </w:rPr>
        <w:t xml:space="preserve"> </w:t>
      </w:r>
      <w:hyperlink r:id="rId57" w:history="1">
        <w:r w:rsidR="00357B11" w:rsidRPr="004F3D51">
          <w:rPr>
            <w:rStyle w:val="Hyperlink"/>
            <w:rFonts w:cs="Times New Roman"/>
            <w:sz w:val="22"/>
          </w:rPr>
          <w:t>http://nora.nerc.ac.uk/id/eprint/524956/</w:t>
        </w:r>
      </w:hyperlink>
      <w:r w:rsidRPr="004F3D51">
        <w:rPr>
          <w:sz w:val="22"/>
        </w:rPr>
        <w:t>.</w:t>
      </w:r>
    </w:p>
    <w:p w14:paraId="0D96B64E" w14:textId="55D23D7C" w:rsidR="0016295F" w:rsidRPr="004F3D51" w:rsidRDefault="0016295F" w:rsidP="0016295F">
      <w:pPr>
        <w:pStyle w:val="References"/>
        <w:rPr>
          <w:color w:val="231F20"/>
          <w:sz w:val="22"/>
        </w:rPr>
      </w:pPr>
      <w:r w:rsidRPr="004F3D51">
        <w:rPr>
          <w:color w:val="231F20"/>
          <w:sz w:val="22"/>
        </w:rPr>
        <w:t>Hartley, T.N., Macdonald, A.J., McGrath, S.P. &amp; Zhao, F.J., 2013. Historical arsenic contamination of soil due to long-term phosphate fertiliser applications. Environmental Pollution, 180, 259</w:t>
      </w:r>
      <w:r w:rsidR="008C673A" w:rsidRPr="004F3D51">
        <w:rPr>
          <w:rFonts w:cs="Times New Roman"/>
          <w:color w:val="231F20"/>
          <w:sz w:val="22"/>
        </w:rPr>
        <w:t>−</w:t>
      </w:r>
      <w:r w:rsidRPr="004F3D51">
        <w:rPr>
          <w:color w:val="231F20"/>
          <w:sz w:val="22"/>
        </w:rPr>
        <w:t xml:space="preserve">264; </w:t>
      </w:r>
      <w:hyperlink r:id="rId58" w:history="1">
        <w:r w:rsidRPr="004F3D51">
          <w:rPr>
            <w:rStyle w:val="Hyperlink"/>
            <w:rFonts w:cs="Times New Roman"/>
            <w:sz w:val="22"/>
          </w:rPr>
          <w:t>https://doi.org/10.1016/j.envpol.2013.05.034</w:t>
        </w:r>
      </w:hyperlink>
      <w:r w:rsidRPr="004F3D51">
        <w:rPr>
          <w:color w:val="231F20"/>
          <w:sz w:val="22"/>
        </w:rPr>
        <w:t>.</w:t>
      </w:r>
    </w:p>
    <w:p w14:paraId="69DC7C0A" w14:textId="51D311DF" w:rsidR="0016295F" w:rsidRPr="004F3D51" w:rsidRDefault="0016295F" w:rsidP="0016295F">
      <w:pPr>
        <w:pStyle w:val="References"/>
        <w:rPr>
          <w:rFonts w:ascii="TimesNewRomanPSMT" w:hAnsi="TimesNewRomanPSMT" w:cs="TimesNewRomanPSMT"/>
          <w:sz w:val="22"/>
        </w:rPr>
      </w:pPr>
      <w:r w:rsidRPr="004F3D51">
        <w:rPr>
          <w:rFonts w:ascii="TimesNewRomanPSMT" w:hAnsi="TimesNewRomanPSMT" w:cs="TimesNewRomanPSMT"/>
          <w:sz w:val="22"/>
        </w:rPr>
        <w:t>Haygarth, P.M., 1994. Global importance and cycling of selenium.  In: W.T. Frankenberger</w:t>
      </w:r>
      <w:r w:rsidR="0031593A" w:rsidRPr="004F3D51">
        <w:rPr>
          <w:rFonts w:ascii="TimesNewRomanPSMT" w:hAnsi="TimesNewRomanPSMT" w:cs="TimesNewRomanPSMT"/>
          <w:sz w:val="22"/>
        </w:rPr>
        <w:t xml:space="preserve"> </w:t>
      </w:r>
      <w:r w:rsidRPr="004F3D51">
        <w:rPr>
          <w:rFonts w:ascii="TimesNewRomanPSMT" w:hAnsi="TimesNewRomanPSMT" w:cs="TimesNewRomanPSMT"/>
          <w:sz w:val="22"/>
        </w:rPr>
        <w:t>&amp; S. Benson (Editors), Selenium in the Environment. Marcel-Dekker, New York</w:t>
      </w:r>
      <w:r w:rsidR="00DB675F" w:rsidRPr="004F3D51">
        <w:rPr>
          <w:rFonts w:ascii="TimesNewRomanPSMT" w:hAnsi="TimesNewRomanPSMT" w:cs="TimesNewRomanPSMT"/>
          <w:sz w:val="22"/>
        </w:rPr>
        <w:t>,</w:t>
      </w:r>
      <w:r w:rsidRPr="004F3D51">
        <w:rPr>
          <w:rFonts w:ascii="TimesNewRomanPSMT" w:hAnsi="TimesNewRomanPSMT" w:cs="TimesNewRomanPSMT"/>
          <w:sz w:val="22"/>
        </w:rPr>
        <w:t xml:space="preserve"> 1</w:t>
      </w:r>
      <w:r w:rsidR="008C673A" w:rsidRPr="004F3D51">
        <w:rPr>
          <w:rFonts w:cs="Times New Roman"/>
          <w:sz w:val="22"/>
        </w:rPr>
        <w:t>−</w:t>
      </w:r>
      <w:r w:rsidRPr="004F3D51">
        <w:rPr>
          <w:rFonts w:ascii="TimesNewRomanPSMT" w:hAnsi="TimesNewRomanPSMT" w:cs="TimesNewRomanPSMT"/>
          <w:sz w:val="22"/>
        </w:rPr>
        <w:t>28.</w:t>
      </w:r>
    </w:p>
    <w:p w14:paraId="5D651980" w14:textId="7FEA3EE7" w:rsidR="007C4592" w:rsidRPr="004F3D51" w:rsidRDefault="007C4592" w:rsidP="0016295F">
      <w:pPr>
        <w:pStyle w:val="References"/>
        <w:rPr>
          <w:sz w:val="22"/>
        </w:rPr>
      </w:pPr>
      <w:r w:rsidRPr="004F3D51">
        <w:rPr>
          <w:sz w:val="22"/>
        </w:rPr>
        <w:t>Heydorn, K., 2006. The determination of an accepted reference value from proficiency data with stated uncertainties.</w:t>
      </w:r>
      <w:r w:rsidR="009B33BA" w:rsidRPr="004F3D51">
        <w:rPr>
          <w:sz w:val="22"/>
        </w:rPr>
        <w:t xml:space="preserve"> Accreditation and Quality Assurance, 10, 479</w:t>
      </w:r>
      <w:r w:rsidR="008C673A" w:rsidRPr="004F3D51">
        <w:rPr>
          <w:rFonts w:cs="Times New Roman"/>
          <w:sz w:val="22"/>
        </w:rPr>
        <w:t>−</w:t>
      </w:r>
      <w:r w:rsidR="009B33BA" w:rsidRPr="004F3D51">
        <w:rPr>
          <w:sz w:val="22"/>
        </w:rPr>
        <w:t xml:space="preserve">484; </w:t>
      </w:r>
      <w:hyperlink r:id="rId59" w:history="1">
        <w:r w:rsidR="009B33BA" w:rsidRPr="004F3D51">
          <w:rPr>
            <w:rStyle w:val="Hyperlink"/>
            <w:sz w:val="22"/>
          </w:rPr>
          <w:t>https://doi.org/10.1007/s00769-005-0043-2</w:t>
        </w:r>
      </w:hyperlink>
      <w:r w:rsidR="009B33BA" w:rsidRPr="004F3D51">
        <w:rPr>
          <w:sz w:val="22"/>
        </w:rPr>
        <w:t>.</w:t>
      </w:r>
    </w:p>
    <w:p w14:paraId="4A8F8431" w14:textId="2B71A2CE" w:rsidR="0016295F" w:rsidRPr="004F3D51" w:rsidRDefault="0016295F" w:rsidP="0016295F">
      <w:pPr>
        <w:pStyle w:val="References"/>
        <w:rPr>
          <w:sz w:val="22"/>
        </w:rPr>
      </w:pPr>
      <w:r w:rsidRPr="004F3D51">
        <w:rPr>
          <w:sz w:val="22"/>
        </w:rPr>
        <w:t>Johnson, C.C., Breward, N., Ander, E.L. &amp; Ault, L., 2005. G-BASE: Baseline geochemical mapping of Great Britain and Northern Ireland. Geochemistry: Exploration-Environment-Analysis 5(4), 347</w:t>
      </w:r>
      <w:r w:rsidR="008C673A" w:rsidRPr="004F3D51">
        <w:rPr>
          <w:rFonts w:cs="Times New Roman"/>
          <w:sz w:val="22"/>
        </w:rPr>
        <w:t>−</w:t>
      </w:r>
      <w:r w:rsidRPr="004F3D51">
        <w:rPr>
          <w:sz w:val="22"/>
        </w:rPr>
        <w:t xml:space="preserve">357; </w:t>
      </w:r>
      <w:hyperlink r:id="rId60" w:history="1">
        <w:r w:rsidRPr="004F3D51">
          <w:rPr>
            <w:rStyle w:val="Hyperlink"/>
            <w:rFonts w:cs="Times New Roman"/>
            <w:sz w:val="22"/>
          </w:rPr>
          <w:t>https://doi.org/10.1144/1467-7873/05-070</w:t>
        </w:r>
      </w:hyperlink>
      <w:r w:rsidRPr="004F3D51">
        <w:rPr>
          <w:sz w:val="22"/>
        </w:rPr>
        <w:t>.</w:t>
      </w:r>
    </w:p>
    <w:p w14:paraId="7ECF2F9A" w14:textId="77777777" w:rsidR="00DB675F" w:rsidRPr="004F3D51" w:rsidRDefault="0016295F" w:rsidP="0016295F">
      <w:pPr>
        <w:pStyle w:val="References"/>
        <w:rPr>
          <w:sz w:val="22"/>
        </w:rPr>
      </w:pPr>
      <w:r w:rsidRPr="004F3D51">
        <w:rPr>
          <w:sz w:val="22"/>
        </w:rPr>
        <w:t>Johnson, C.C., Demetriades, A., Locutura, J., &amp; Ottesen, R.T. (Editors), 2011. Mapping the Chemical Environment of Urban Areas. Wiley-Blackwell, John Wiley &amp; Sons Ltd., Chichester, West Sussex, United Kingdom, 616 pp.</w:t>
      </w:r>
      <w:r w:rsidR="00DB675F" w:rsidRPr="004F3D51">
        <w:rPr>
          <w:sz w:val="22"/>
        </w:rPr>
        <w:t xml:space="preserve">; </w:t>
      </w:r>
      <w:hyperlink r:id="rId61" w:history="1">
        <w:r w:rsidR="00DB675F" w:rsidRPr="004F3D51">
          <w:rPr>
            <w:rStyle w:val="Hyperlink"/>
            <w:sz w:val="22"/>
          </w:rPr>
          <w:t>https://doi.org/10.1002/9780470670071</w:t>
        </w:r>
      </w:hyperlink>
      <w:r w:rsidR="00DB675F" w:rsidRPr="004F3D51">
        <w:rPr>
          <w:sz w:val="22"/>
        </w:rPr>
        <w:t>.</w:t>
      </w:r>
    </w:p>
    <w:p w14:paraId="6D62250C" w14:textId="3BA6EDA4" w:rsidR="0016295F" w:rsidRPr="004F3D51" w:rsidRDefault="0016295F" w:rsidP="0016295F">
      <w:pPr>
        <w:pStyle w:val="References"/>
        <w:rPr>
          <w:rFonts w:eastAsia="Times New Roman"/>
          <w:color w:val="777777"/>
          <w:sz w:val="22"/>
          <w:lang w:eastAsia="en-GB"/>
        </w:rPr>
      </w:pPr>
      <w:r w:rsidRPr="004F3D51">
        <w:rPr>
          <w:sz w:val="22"/>
        </w:rPr>
        <w:t xml:space="preserve">Johnson, C.C., Ander, E.L., Lister, T.R. &amp; Flight, D.M.A., 2018. </w:t>
      </w:r>
      <w:r w:rsidRPr="004F3D51">
        <w:rPr>
          <w:sz w:val="22"/>
          <w:shd w:val="clear" w:color="auto" w:fill="FFFFFF"/>
        </w:rPr>
        <w:t>Data Conditioning of Environmental Geochemical Data: Quality Control Procedures Used in the British Geological Survey's Regional Geochemical Mapping Project.</w:t>
      </w:r>
      <w:r w:rsidR="00EE0EF1" w:rsidRPr="004F3D51">
        <w:rPr>
          <w:sz w:val="22"/>
          <w:shd w:val="clear" w:color="auto" w:fill="FFFFFF"/>
        </w:rPr>
        <w:t xml:space="preserve"> </w:t>
      </w:r>
      <w:r w:rsidRPr="004F3D51">
        <w:rPr>
          <w:rFonts w:eastAsia="Times New Roman"/>
          <w:sz w:val="22"/>
          <w:lang w:eastAsia="en-GB"/>
        </w:rPr>
        <w:t>Chapter 5 In: B. de Vivo, H.E. Belkin &amp; A. Lima (Editors), Environmental Geochemistry: Site Characterization, Data Analysis and Case Histories</w:t>
      </w:r>
      <w:r w:rsidR="00217076" w:rsidRPr="004F3D51">
        <w:rPr>
          <w:rFonts w:eastAsia="Times New Roman"/>
          <w:sz w:val="22"/>
          <w:lang w:eastAsia="en-GB"/>
        </w:rPr>
        <w:t xml:space="preserve"> (Second Edition)</w:t>
      </w:r>
      <w:r w:rsidRPr="004F3D51">
        <w:rPr>
          <w:rFonts w:eastAsia="Times New Roman"/>
          <w:sz w:val="22"/>
          <w:lang w:eastAsia="en-GB"/>
        </w:rPr>
        <w:t>. Elsevier, 79</w:t>
      </w:r>
      <w:r w:rsidR="008C673A" w:rsidRPr="004F3D51">
        <w:rPr>
          <w:rFonts w:eastAsia="Times New Roman" w:cs="Times New Roman"/>
          <w:sz w:val="22"/>
          <w:lang w:eastAsia="en-GB"/>
        </w:rPr>
        <w:t>−</w:t>
      </w:r>
      <w:r w:rsidRPr="004F3D51">
        <w:rPr>
          <w:rFonts w:eastAsia="Times New Roman"/>
          <w:sz w:val="22"/>
          <w:lang w:eastAsia="en-GB"/>
        </w:rPr>
        <w:t xml:space="preserve">101; </w:t>
      </w:r>
      <w:hyperlink r:id="rId62" w:history="1">
        <w:r w:rsidRPr="004F3D51">
          <w:rPr>
            <w:rStyle w:val="Hyperlink"/>
            <w:rFonts w:eastAsia="Times New Roman"/>
            <w:sz w:val="22"/>
            <w:lang w:eastAsia="en-GB"/>
          </w:rPr>
          <w:t>https://doi.org/10.1016/B978-0-444-63763-5.00006-9</w:t>
        </w:r>
      </w:hyperlink>
      <w:r w:rsidRPr="004F3D51">
        <w:rPr>
          <w:rFonts w:eastAsia="Times New Roman"/>
          <w:sz w:val="22"/>
          <w:lang w:eastAsia="en-GB"/>
        </w:rPr>
        <w:t>.</w:t>
      </w:r>
    </w:p>
    <w:p w14:paraId="0C32EF58" w14:textId="692C483A" w:rsidR="007478B9" w:rsidRPr="004F3D51" w:rsidRDefault="007478B9" w:rsidP="0016295F">
      <w:pPr>
        <w:pStyle w:val="References"/>
        <w:rPr>
          <w:sz w:val="22"/>
        </w:rPr>
      </w:pPr>
      <w:r w:rsidRPr="004F3D51">
        <w:rPr>
          <w:sz w:val="22"/>
        </w:rPr>
        <w:t>Lark, R.M., Ander, E.L. &amp; Broadle</w:t>
      </w:r>
      <w:r w:rsidR="00217076" w:rsidRPr="004F3D51">
        <w:rPr>
          <w:sz w:val="22"/>
        </w:rPr>
        <w:t>y</w:t>
      </w:r>
      <w:r w:rsidRPr="004F3D51">
        <w:rPr>
          <w:sz w:val="22"/>
        </w:rPr>
        <w:t>, M.R., 2019. Combining two national-scale datasets to map soil properties, the case of available magnesium in England and Wales. European Journal of Soil Science, 70, 361</w:t>
      </w:r>
      <w:r w:rsidRPr="004F3D51">
        <w:rPr>
          <w:rFonts w:cs="Times New Roman"/>
          <w:sz w:val="22"/>
        </w:rPr>
        <w:t>−</w:t>
      </w:r>
      <w:r w:rsidRPr="004F3D51">
        <w:rPr>
          <w:sz w:val="22"/>
        </w:rPr>
        <w:t xml:space="preserve">377; </w:t>
      </w:r>
      <w:hyperlink r:id="rId63" w:history="1">
        <w:r w:rsidRPr="004F3D51">
          <w:rPr>
            <w:rStyle w:val="Hyperlink"/>
            <w:sz w:val="22"/>
          </w:rPr>
          <w:t>https://doi.org/10.1111/ejss.12743</w:t>
        </w:r>
      </w:hyperlink>
      <w:r w:rsidRPr="004F3D51">
        <w:rPr>
          <w:sz w:val="22"/>
        </w:rPr>
        <w:t>.</w:t>
      </w:r>
    </w:p>
    <w:p w14:paraId="6934322C" w14:textId="63F013C2" w:rsidR="0016295F" w:rsidRPr="004F3D51" w:rsidRDefault="0016295F" w:rsidP="0016295F">
      <w:pPr>
        <w:pStyle w:val="References"/>
        <w:rPr>
          <w:sz w:val="22"/>
        </w:rPr>
      </w:pPr>
      <w:r w:rsidRPr="004F3D51">
        <w:rPr>
          <w:sz w:val="22"/>
        </w:rPr>
        <w:t>Lee, G.K., Yager, D.B., Mauk, J.L, Granitto, M., Denning, P.D., Wang, B. &amp;</w:t>
      </w:r>
      <w:r w:rsidR="0031593A" w:rsidRPr="004F3D51">
        <w:rPr>
          <w:sz w:val="22"/>
        </w:rPr>
        <w:t xml:space="preserve"> </w:t>
      </w:r>
      <w:r w:rsidRPr="004F3D51">
        <w:rPr>
          <w:sz w:val="22"/>
        </w:rPr>
        <w:t>Werdon, M.B., 2016. The Geochemical Atlas of Alaska, 2016. U.S. Geological Survey Data Series 908, 25 pp., 272 sheets (</w:t>
      </w:r>
      <w:r w:rsidR="004A4E0C" w:rsidRPr="004F3D51">
        <w:rPr>
          <w:sz w:val="22"/>
        </w:rPr>
        <w:t>11” ×</w:t>
      </w:r>
      <w:r w:rsidRPr="004F3D51">
        <w:rPr>
          <w:sz w:val="22"/>
        </w:rPr>
        <w:t xml:space="preserve"> 17”), GIS database; </w:t>
      </w:r>
      <w:hyperlink r:id="rId64" w:history="1">
        <w:r w:rsidRPr="004F3D51">
          <w:rPr>
            <w:rStyle w:val="Hyperlink"/>
            <w:rFonts w:cs="Times New Roman"/>
            <w:sz w:val="22"/>
          </w:rPr>
          <w:t>http://dx.doi.org/10.3133/ds908</w:t>
        </w:r>
      </w:hyperlink>
      <w:r w:rsidRPr="004F3D51">
        <w:rPr>
          <w:sz w:val="22"/>
        </w:rPr>
        <w:t>.</w:t>
      </w:r>
    </w:p>
    <w:p w14:paraId="1275A2B8" w14:textId="27D0206D" w:rsidR="0016295F" w:rsidRPr="004F3D51" w:rsidRDefault="0016295F" w:rsidP="0016295F">
      <w:pPr>
        <w:pStyle w:val="References"/>
        <w:rPr>
          <w:sz w:val="22"/>
        </w:rPr>
      </w:pPr>
      <w:r w:rsidRPr="004F3D51">
        <w:rPr>
          <w:sz w:val="22"/>
        </w:rPr>
        <w:t xml:space="preserve">Lister, T.R. &amp; Johnson, C.C., 2005. G-BASE data conditioning procedures for stream sediment and soil chemical analyses. </w:t>
      </w:r>
      <w:r w:rsidRPr="004F3D51">
        <w:rPr>
          <w:i/>
          <w:sz w:val="22"/>
        </w:rPr>
        <w:t>British Geological Survey Internal Report</w:t>
      </w:r>
      <w:r w:rsidRPr="004F3D51">
        <w:rPr>
          <w:sz w:val="22"/>
        </w:rPr>
        <w:t>, IR/05/150</w:t>
      </w:r>
      <w:r w:rsidR="00F629A7" w:rsidRPr="004F3D51">
        <w:rPr>
          <w:sz w:val="22"/>
        </w:rPr>
        <w:t xml:space="preserve">, </w:t>
      </w:r>
      <w:r w:rsidRPr="004F3D51">
        <w:rPr>
          <w:sz w:val="22"/>
        </w:rPr>
        <w:t xml:space="preserve">85 pp.; </w:t>
      </w:r>
      <w:hyperlink r:id="rId65" w:history="1">
        <w:r w:rsidRPr="004F3D51">
          <w:rPr>
            <w:rStyle w:val="Hyperlink"/>
            <w:rFonts w:cs="Times New Roman"/>
            <w:sz w:val="22"/>
          </w:rPr>
          <w:t>http://nora.nerc.ac.uk/id/eprint/11170/1/IR05150.pdf</w:t>
        </w:r>
      </w:hyperlink>
      <w:r w:rsidRPr="004F3D51">
        <w:rPr>
          <w:sz w:val="22"/>
        </w:rPr>
        <w:t>.</w:t>
      </w:r>
    </w:p>
    <w:p w14:paraId="6D8A3042" w14:textId="5BD5D1EB" w:rsidR="00AB1E98" w:rsidRPr="004F3D51" w:rsidRDefault="00AB1E98" w:rsidP="00AB1E98">
      <w:pPr>
        <w:pStyle w:val="References"/>
        <w:rPr>
          <w:sz w:val="22"/>
        </w:rPr>
      </w:pPr>
      <w:r w:rsidRPr="004F3D51">
        <w:rPr>
          <w:sz w:val="22"/>
        </w:rPr>
        <w:t xml:space="preserve">Mackie, R.A., Arne, D.C. &amp; </w:t>
      </w:r>
      <w:proofErr w:type="spellStart"/>
      <w:r w:rsidRPr="004F3D51">
        <w:rPr>
          <w:sz w:val="22"/>
        </w:rPr>
        <w:t>Pennimpede</w:t>
      </w:r>
      <w:proofErr w:type="spellEnd"/>
      <w:r w:rsidRPr="004F3D51">
        <w:rPr>
          <w:sz w:val="22"/>
        </w:rPr>
        <w:t>, C., 2017. Assessment of Yukon regional stream sediment catchment basin and geochemical data quality. Yukon Geological Survey, Open File 2017-4, 29 pp. and digital files;</w:t>
      </w:r>
      <w:r w:rsidRPr="004F3D51">
        <w:rPr>
          <w:color w:val="FF0000"/>
          <w:sz w:val="22"/>
        </w:rPr>
        <w:t xml:space="preserve"> </w:t>
      </w:r>
      <w:hyperlink r:id="rId66" w:history="1">
        <w:r w:rsidRPr="004F3D51">
          <w:rPr>
            <w:rStyle w:val="Hyperlink"/>
            <w:sz w:val="22"/>
          </w:rPr>
          <w:t>http://data.geology.gov.yk.ca/Reference/79430</w:t>
        </w:r>
      </w:hyperlink>
      <w:r w:rsidRPr="004F3D51">
        <w:rPr>
          <w:sz w:val="22"/>
        </w:rPr>
        <w:t>.</w:t>
      </w:r>
    </w:p>
    <w:p w14:paraId="45F0336D" w14:textId="0E1C1359" w:rsidR="0016295F" w:rsidRPr="004F3D51" w:rsidRDefault="0016295F" w:rsidP="0016295F">
      <w:pPr>
        <w:pStyle w:val="References"/>
        <w:rPr>
          <w:sz w:val="22"/>
        </w:rPr>
      </w:pPr>
      <w:r w:rsidRPr="004F3D51">
        <w:rPr>
          <w:sz w:val="22"/>
        </w:rPr>
        <w:t>McConnell, J. R. &amp; Edwards, R., 2008. Coal burning leaves toxic heavy metal legacy in the Arctic. Proceedings of the National Academy of Sciences of the Unites States of America, 105(34), 12140</w:t>
      </w:r>
      <w:r w:rsidR="008C673A" w:rsidRPr="004F3D51">
        <w:rPr>
          <w:rFonts w:cs="Times New Roman"/>
          <w:sz w:val="22"/>
        </w:rPr>
        <w:t>−</w:t>
      </w:r>
      <w:r w:rsidRPr="004F3D51">
        <w:rPr>
          <w:sz w:val="22"/>
        </w:rPr>
        <w:t>12144</w:t>
      </w:r>
      <w:r w:rsidR="00DB675F" w:rsidRPr="004F3D51">
        <w:rPr>
          <w:sz w:val="22"/>
        </w:rPr>
        <w:t>;</w:t>
      </w:r>
      <w:r w:rsidR="00AB1E98" w:rsidRPr="004F3D51">
        <w:rPr>
          <w:sz w:val="22"/>
        </w:rPr>
        <w:t xml:space="preserve"> </w:t>
      </w:r>
      <w:hyperlink r:id="rId67" w:history="1">
        <w:r w:rsidR="00AB1E98" w:rsidRPr="004F3D51">
          <w:rPr>
            <w:rStyle w:val="Hyperlink"/>
            <w:sz w:val="22"/>
          </w:rPr>
          <w:t>https://doi.org/</w:t>
        </w:r>
        <w:r w:rsidR="00AB1E98" w:rsidRPr="004F3D51">
          <w:rPr>
            <w:rStyle w:val="Hyperlink"/>
            <w:sz w:val="22"/>
            <w:shd w:val="clear" w:color="auto" w:fill="FFFFFF"/>
          </w:rPr>
          <w:t>10.1073/pnas.0803564105</w:t>
        </w:r>
      </w:hyperlink>
      <w:r w:rsidRPr="004F3D51">
        <w:rPr>
          <w:sz w:val="22"/>
        </w:rPr>
        <w:t>.</w:t>
      </w:r>
    </w:p>
    <w:p w14:paraId="19050FBF" w14:textId="323580D8" w:rsidR="00B543A9" w:rsidRPr="004F3D51" w:rsidRDefault="00B543A9" w:rsidP="0016295F">
      <w:pPr>
        <w:pStyle w:val="References"/>
        <w:rPr>
          <w:sz w:val="22"/>
        </w:rPr>
      </w:pPr>
      <w:r w:rsidRPr="004F3D51">
        <w:rPr>
          <w:sz w:val="22"/>
        </w:rPr>
        <w:t>McGrath, S.P. &amp; Loveland, P.J., 1992. The Soil Geochemical Atlas of England and Wales. Blackie Academic and Professional, Glasgow, 101 pp.</w:t>
      </w:r>
    </w:p>
    <w:p w14:paraId="09798542" w14:textId="77777777" w:rsidR="005A63A0" w:rsidRPr="004F3D51" w:rsidRDefault="005A63A0" w:rsidP="005A63A0">
      <w:pPr>
        <w:pStyle w:val="References"/>
        <w:rPr>
          <w:sz w:val="22"/>
        </w:rPr>
      </w:pPr>
      <w:r w:rsidRPr="004F3D51">
        <w:rPr>
          <w:sz w:val="22"/>
        </w:rPr>
        <w:t xml:space="preserve">Reimann, C., Filzmoser, P., Garrett, R.G. &amp; Dutter, R., 2008. </w:t>
      </w:r>
      <w:r w:rsidRPr="004F3D51">
        <w:rPr>
          <w:iCs/>
          <w:sz w:val="22"/>
        </w:rPr>
        <w:t xml:space="preserve">Statistical Data Analysis Explained. Applied Environmental Statistics with R. </w:t>
      </w:r>
      <w:r w:rsidRPr="004F3D51">
        <w:rPr>
          <w:sz w:val="22"/>
        </w:rPr>
        <w:t>John Wiley &amp; Sons, Ltd., Chichester, England, 343 pp.</w:t>
      </w:r>
    </w:p>
    <w:p w14:paraId="2AF1BA7C" w14:textId="4010D173" w:rsidR="00DB675F" w:rsidRPr="004F3D51" w:rsidRDefault="0016295F" w:rsidP="0016295F">
      <w:pPr>
        <w:pStyle w:val="References"/>
        <w:rPr>
          <w:sz w:val="22"/>
        </w:rPr>
      </w:pPr>
      <w:r w:rsidRPr="004F3D51">
        <w:rPr>
          <w:sz w:val="22"/>
        </w:rPr>
        <w:t xml:space="preserve">Reimann, C., Caritat, P. de, GEMAS Project Team &amp; NGSA Project Team, 2012. New soil composition data for Europe and Australia: </w:t>
      </w:r>
      <w:proofErr w:type="gramStart"/>
      <w:r w:rsidRPr="004F3D51">
        <w:rPr>
          <w:sz w:val="22"/>
        </w:rPr>
        <w:t>Demonstrating</w:t>
      </w:r>
      <w:proofErr w:type="gramEnd"/>
      <w:r w:rsidRPr="004F3D51">
        <w:rPr>
          <w:sz w:val="22"/>
        </w:rPr>
        <w:t xml:space="preserve"> comparability, identifying continental-scale processes and learning lessons for global geochemical mapping. Science of the Total Environment, 416, 239</w:t>
      </w:r>
      <w:r w:rsidR="008C673A" w:rsidRPr="004F3D51">
        <w:rPr>
          <w:rFonts w:cs="Times New Roman"/>
          <w:sz w:val="22"/>
        </w:rPr>
        <w:t>−</w:t>
      </w:r>
      <w:r w:rsidRPr="004F3D51">
        <w:rPr>
          <w:sz w:val="22"/>
        </w:rPr>
        <w:t xml:space="preserve">252; </w:t>
      </w:r>
      <w:hyperlink r:id="rId68" w:history="1">
        <w:r w:rsidR="00DB675F" w:rsidRPr="004F3D51">
          <w:rPr>
            <w:rStyle w:val="Hyperlink"/>
            <w:sz w:val="22"/>
          </w:rPr>
          <w:t>https://doi.org/10.1016/j.scitotenv.2011.11.019</w:t>
        </w:r>
      </w:hyperlink>
      <w:r w:rsidRPr="004F3D51">
        <w:rPr>
          <w:sz w:val="22"/>
        </w:rPr>
        <w:t>.</w:t>
      </w:r>
    </w:p>
    <w:p w14:paraId="11B7D0E9" w14:textId="76282E14" w:rsidR="00DB675F" w:rsidRPr="004F3D51" w:rsidRDefault="0016295F" w:rsidP="0016295F">
      <w:pPr>
        <w:pStyle w:val="References"/>
        <w:rPr>
          <w:color w:val="222222"/>
          <w:sz w:val="22"/>
          <w:shd w:val="clear" w:color="auto" w:fill="FFFFFF"/>
        </w:rPr>
      </w:pPr>
      <w:r w:rsidRPr="004F3D51">
        <w:rPr>
          <w:color w:val="222222"/>
          <w:sz w:val="22"/>
          <w:shd w:val="clear" w:color="auto" w:fill="FFFFFF"/>
        </w:rPr>
        <w:t>Silvertown, J., Poulton, P., Johnston, E., Edwards, G., Heard, M. &amp;</w:t>
      </w:r>
      <w:r w:rsidR="007654F8" w:rsidRPr="004F3D51">
        <w:rPr>
          <w:color w:val="222222"/>
          <w:sz w:val="22"/>
          <w:shd w:val="clear" w:color="auto" w:fill="FFFFFF"/>
        </w:rPr>
        <w:t xml:space="preserve"> </w:t>
      </w:r>
      <w:r w:rsidRPr="004F3D51">
        <w:rPr>
          <w:color w:val="222222"/>
          <w:sz w:val="22"/>
          <w:shd w:val="clear" w:color="auto" w:fill="FFFFFF"/>
        </w:rPr>
        <w:t>Biss, P.M., 2006. </w:t>
      </w:r>
      <w:r w:rsidRPr="004F3D51">
        <w:rPr>
          <w:sz w:val="22"/>
          <w:shd w:val="clear" w:color="auto" w:fill="FFFFFF"/>
        </w:rPr>
        <w:t xml:space="preserve">The Park Grass Experiment 1856-2006: its contribution to ecology. </w:t>
      </w:r>
      <w:r w:rsidRPr="004F3D51">
        <w:rPr>
          <w:color w:val="222222"/>
          <w:sz w:val="22"/>
          <w:shd w:val="clear" w:color="auto" w:fill="FFFFFF"/>
        </w:rPr>
        <w:t>Journal of Ecology, </w:t>
      </w:r>
      <w:r w:rsidRPr="004F3D51">
        <w:rPr>
          <w:bCs/>
          <w:color w:val="222222"/>
          <w:sz w:val="22"/>
          <w:shd w:val="clear" w:color="auto" w:fill="FFFFFF"/>
        </w:rPr>
        <w:t>94</w:t>
      </w:r>
      <w:r w:rsidRPr="004F3D51">
        <w:rPr>
          <w:color w:val="222222"/>
          <w:sz w:val="22"/>
          <w:shd w:val="clear" w:color="auto" w:fill="FFFFFF"/>
        </w:rPr>
        <w:t>(4), 801</w:t>
      </w:r>
      <w:r w:rsidR="008C673A" w:rsidRPr="004F3D51">
        <w:rPr>
          <w:rFonts w:cs="Times New Roman"/>
          <w:color w:val="222222"/>
          <w:sz w:val="22"/>
          <w:shd w:val="clear" w:color="auto" w:fill="FFFFFF"/>
        </w:rPr>
        <w:t>−</w:t>
      </w:r>
      <w:r w:rsidRPr="004F3D51">
        <w:rPr>
          <w:color w:val="222222"/>
          <w:sz w:val="22"/>
          <w:shd w:val="clear" w:color="auto" w:fill="FFFFFF"/>
        </w:rPr>
        <w:t>814</w:t>
      </w:r>
      <w:r w:rsidR="00DB675F" w:rsidRPr="004F3D51">
        <w:rPr>
          <w:color w:val="222222"/>
          <w:sz w:val="22"/>
          <w:shd w:val="clear" w:color="auto" w:fill="FFFFFF"/>
        </w:rPr>
        <w:t xml:space="preserve">; </w:t>
      </w:r>
      <w:hyperlink r:id="rId69" w:history="1">
        <w:r w:rsidR="00DB675F" w:rsidRPr="004F3D51">
          <w:rPr>
            <w:rStyle w:val="Hyperlink"/>
            <w:sz w:val="22"/>
            <w:shd w:val="clear" w:color="auto" w:fill="FFFFFF"/>
          </w:rPr>
          <w:t>https://doi.org/10.1111/j.1365-2745.2006.01145.x</w:t>
        </w:r>
      </w:hyperlink>
      <w:r w:rsidR="00DB675F" w:rsidRPr="004F3D51">
        <w:rPr>
          <w:color w:val="222222"/>
          <w:sz w:val="22"/>
          <w:shd w:val="clear" w:color="auto" w:fill="FFFFFF"/>
        </w:rPr>
        <w:t>.</w:t>
      </w:r>
    </w:p>
    <w:p w14:paraId="53D636BC" w14:textId="0EEC098F" w:rsidR="0016295F" w:rsidRPr="004F3D51" w:rsidRDefault="0016295F" w:rsidP="0016295F">
      <w:pPr>
        <w:pStyle w:val="References"/>
        <w:rPr>
          <w:sz w:val="22"/>
        </w:rPr>
      </w:pPr>
      <w:r w:rsidRPr="004F3D51">
        <w:rPr>
          <w:sz w:val="22"/>
        </w:rPr>
        <w:t>Smith, D.B., Smith, S.M. &amp; Horton, J.D., 2013. History and evaluation of national-scale geochemical data sets for the United States. Geoscience Frontiers 4(2), 167</w:t>
      </w:r>
      <w:r w:rsidR="008C673A" w:rsidRPr="004F3D51">
        <w:rPr>
          <w:rFonts w:cs="Times New Roman"/>
          <w:sz w:val="22"/>
        </w:rPr>
        <w:t>−</w:t>
      </w:r>
      <w:r w:rsidRPr="004F3D51">
        <w:rPr>
          <w:sz w:val="22"/>
        </w:rPr>
        <w:t>183</w:t>
      </w:r>
      <w:r w:rsidR="00DB675F" w:rsidRPr="004F3D51">
        <w:rPr>
          <w:sz w:val="22"/>
        </w:rPr>
        <w:t xml:space="preserve">. </w:t>
      </w:r>
      <w:hyperlink r:id="rId70" w:history="1">
        <w:r w:rsidR="00DB675F" w:rsidRPr="004F3D51">
          <w:rPr>
            <w:rStyle w:val="Hyperlink"/>
            <w:sz w:val="22"/>
          </w:rPr>
          <w:t>https://doi.org/10.1016/j.gsf.2012.07.002</w:t>
        </w:r>
      </w:hyperlink>
      <w:r w:rsidRPr="004F3D51">
        <w:rPr>
          <w:sz w:val="22"/>
        </w:rPr>
        <w:t>.</w:t>
      </w:r>
    </w:p>
    <w:p w14:paraId="5BFEBE0F" w14:textId="36674C08" w:rsidR="0016295F" w:rsidRPr="004F3D51" w:rsidRDefault="0016295F" w:rsidP="0016295F">
      <w:pPr>
        <w:pStyle w:val="References"/>
        <w:rPr>
          <w:color w:val="231F20"/>
          <w:sz w:val="22"/>
        </w:rPr>
      </w:pPr>
      <w:r w:rsidRPr="004F3D51">
        <w:rPr>
          <w:color w:val="231F20"/>
          <w:sz w:val="22"/>
        </w:rPr>
        <w:t xml:space="preserve">Warneke, T., Croudace, I.W., Warwick, P.E. &amp; Taylor, R.N., 2002. A new ground-level fallout record of uranium and plutonium isotopes for northern temperate latitudes. Earth and Planetary Science Letters, </w:t>
      </w:r>
      <w:r w:rsidRPr="004F3D51">
        <w:rPr>
          <w:bCs/>
          <w:color w:val="231F20"/>
          <w:sz w:val="22"/>
        </w:rPr>
        <w:t>203(3-4)</w:t>
      </w:r>
      <w:r w:rsidRPr="004F3D51">
        <w:rPr>
          <w:color w:val="231F20"/>
          <w:sz w:val="22"/>
        </w:rPr>
        <w:t>, 1047</w:t>
      </w:r>
      <w:r w:rsidR="008C673A" w:rsidRPr="004F3D51">
        <w:rPr>
          <w:rFonts w:cs="Times New Roman"/>
          <w:color w:val="231F20"/>
          <w:sz w:val="22"/>
        </w:rPr>
        <w:t>−</w:t>
      </w:r>
      <w:r w:rsidRPr="004F3D51">
        <w:rPr>
          <w:color w:val="231F20"/>
          <w:sz w:val="22"/>
        </w:rPr>
        <w:t xml:space="preserve">1057; </w:t>
      </w:r>
      <w:hyperlink r:id="rId71" w:history="1">
        <w:r w:rsidR="00DB675F" w:rsidRPr="004F3D51">
          <w:rPr>
            <w:rStyle w:val="Hyperlink"/>
            <w:sz w:val="22"/>
          </w:rPr>
          <w:t>https://doi.org/10.1016/S0012-821X(02)00930-5</w:t>
        </w:r>
      </w:hyperlink>
      <w:r w:rsidRPr="004F3D51">
        <w:rPr>
          <w:color w:val="231F20"/>
          <w:sz w:val="22"/>
        </w:rPr>
        <w:t>.</w:t>
      </w:r>
    </w:p>
    <w:p w14:paraId="56CE37A4" w14:textId="3F609F25" w:rsidR="0016295F" w:rsidRPr="004F3D51" w:rsidRDefault="0016295F" w:rsidP="0016295F">
      <w:pPr>
        <w:pStyle w:val="References"/>
        <w:rPr>
          <w:sz w:val="22"/>
        </w:rPr>
      </w:pPr>
      <w:r w:rsidRPr="004F3D51">
        <w:rPr>
          <w:sz w:val="22"/>
        </w:rPr>
        <w:t xml:space="preserve">Weaver, T.A., Freeman, S.H., Broxton, D.E. &amp; Bolivar, S.L., 1983. The Geochemical Atlas of Alaska: Los Alamos, New Mexico, U.S. Department of Energy, Los Alamos National Laboratory, </w:t>
      </w:r>
      <w:r w:rsidRPr="004F3D51">
        <w:rPr>
          <w:sz w:val="22"/>
        </w:rPr>
        <w:lastRenderedPageBreak/>
        <w:t>Geochemistry Group, Earth and Space Sciences Division, Report nos. LA–9897–MS and GJBX–32 (83), DOE contract no. W–7405–ENG–36, 57 pp.</w:t>
      </w:r>
    </w:p>
    <w:p w14:paraId="78C6268E" w14:textId="32F71C23" w:rsidR="008862BF" w:rsidRPr="004F3D51" w:rsidRDefault="008862BF" w:rsidP="0016295F">
      <w:pPr>
        <w:pStyle w:val="References"/>
        <w:rPr>
          <w:sz w:val="22"/>
        </w:rPr>
      </w:pPr>
      <w:r w:rsidRPr="004F3D51">
        <w:rPr>
          <w:sz w:val="22"/>
        </w:rPr>
        <w:t xml:space="preserve">Williams, P.M., 2021. Statistical levelling of multi-element geochemical data. Applied Computing and Geosciences, 10, 100060; </w:t>
      </w:r>
      <w:hyperlink r:id="rId72" w:history="1">
        <w:r w:rsidRPr="004F3D51">
          <w:rPr>
            <w:rStyle w:val="Hyperlink"/>
            <w:sz w:val="22"/>
          </w:rPr>
          <w:t>https://doi.org/10.1016/j.acags.2021.100060</w:t>
        </w:r>
      </w:hyperlink>
      <w:r w:rsidRPr="004F3D51">
        <w:rPr>
          <w:sz w:val="22"/>
        </w:rPr>
        <w:t xml:space="preserve">. </w:t>
      </w:r>
    </w:p>
    <w:p w14:paraId="40396186" w14:textId="5FA326CB" w:rsidR="0016295F" w:rsidRPr="004F3D51" w:rsidRDefault="0016295F" w:rsidP="0016295F">
      <w:pPr>
        <w:pStyle w:val="References"/>
        <w:rPr>
          <w:color w:val="231F20"/>
          <w:sz w:val="22"/>
        </w:rPr>
      </w:pPr>
      <w:r w:rsidRPr="004F3D51">
        <w:rPr>
          <w:color w:val="231F20"/>
          <w:sz w:val="22"/>
        </w:rPr>
        <w:t xml:space="preserve">Zhao, F.J., Spiro, B., Poulton, P.R. &amp; McGrath, S.P., 1998. Use of sulfur isotope ratios to determine anthropogenic sulfur signals in a grassland ecosystem. Environmental Science and Technology, </w:t>
      </w:r>
      <w:r w:rsidRPr="004F3D51">
        <w:rPr>
          <w:bCs/>
          <w:color w:val="231F20"/>
          <w:sz w:val="22"/>
        </w:rPr>
        <w:t>32(15)</w:t>
      </w:r>
      <w:r w:rsidRPr="004F3D51">
        <w:rPr>
          <w:color w:val="231F20"/>
          <w:sz w:val="22"/>
        </w:rPr>
        <w:t xml:space="preserve">, 2288–2291; </w:t>
      </w:r>
      <w:hyperlink r:id="rId73" w:history="1">
        <w:r w:rsidR="008C673A" w:rsidRPr="004F3D51">
          <w:rPr>
            <w:rStyle w:val="Hyperlink"/>
            <w:sz w:val="22"/>
          </w:rPr>
          <w:t>https://doi.org/10.1021/es980157f</w:t>
        </w:r>
      </w:hyperlink>
      <w:r w:rsidRPr="004F3D51">
        <w:rPr>
          <w:color w:val="231F20"/>
          <w:sz w:val="22"/>
        </w:rPr>
        <w:t>.</w:t>
      </w:r>
    </w:p>
    <w:p w14:paraId="32A7400B" w14:textId="77777777" w:rsidR="008C673A" w:rsidRPr="007D1437" w:rsidRDefault="008C673A" w:rsidP="0016295F">
      <w:pPr>
        <w:pStyle w:val="References"/>
        <w:rPr>
          <w:color w:val="231F20"/>
        </w:rPr>
      </w:pPr>
    </w:p>
    <w:p w14:paraId="79CE720F" w14:textId="77777777" w:rsidR="008B4150" w:rsidRDefault="008B4150" w:rsidP="009A7E90">
      <w:pPr>
        <w:pStyle w:val="References"/>
      </w:pPr>
    </w:p>
    <w:sectPr w:rsidR="008B4150" w:rsidSect="00A1370F">
      <w:footerReference w:type="even" r:id="rId74"/>
      <w:footerReference w:type="default" r:id="rId75"/>
      <w:pgSz w:w="11907" w:h="16838"/>
      <w:pgMar w:top="1134" w:right="1134" w:bottom="1134" w:left="1418" w:header="709" w:footer="709" w:gutter="0"/>
      <w:pgNumType w:start="42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6D157" w14:textId="77777777" w:rsidR="009648DC" w:rsidRDefault="009648DC" w:rsidP="00844263">
      <w:r>
        <w:separator/>
      </w:r>
    </w:p>
  </w:endnote>
  <w:endnote w:type="continuationSeparator" w:id="0">
    <w:p w14:paraId="654F1EF9" w14:textId="77777777" w:rsidR="009648DC" w:rsidRDefault="009648DC" w:rsidP="0084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 w:name="TimesNewRoman">
    <w:altName w:val="Yu Gothic"/>
    <w:panose1 w:val="00000000000000000000"/>
    <w:charset w:val="88"/>
    <w:family w:val="auto"/>
    <w:notTrueType/>
    <w:pitch w:val="default"/>
    <w:sig w:usb0="00000000" w:usb1="08080000" w:usb2="00000010" w:usb3="00000000" w:csb0="00100000" w:csb1="00000000"/>
  </w:font>
  <w:font w:name="TimesNewRomanPSMT">
    <w:altName w:val="Times New Roman"/>
    <w:charset w:val="00"/>
    <w:family w:val="auto"/>
    <w:pitch w:val="default"/>
    <w:sig w:usb0="00000000"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57A2B" w14:textId="77777777" w:rsidR="006C4CC3" w:rsidRPr="00BB77B2" w:rsidRDefault="006C4CC3" w:rsidP="00BB77B2">
    <w:pPr>
      <w:pStyle w:val="Footer"/>
      <w:rPr>
        <w:sz w:val="20"/>
      </w:rPr>
    </w:pPr>
    <w:r w:rsidRPr="00BB77B2">
      <w:rPr>
        <w:sz w:val="20"/>
      </w:rPr>
      <w:fldChar w:fldCharType="begin"/>
    </w:r>
    <w:r w:rsidRPr="00BB77B2">
      <w:rPr>
        <w:sz w:val="20"/>
      </w:rPr>
      <w:instrText xml:space="preserve"> PAGE   \* MERGEFORMAT </w:instrText>
    </w:r>
    <w:r w:rsidRPr="00BB77B2">
      <w:rPr>
        <w:sz w:val="20"/>
      </w:rPr>
      <w:fldChar w:fldCharType="separate"/>
    </w:r>
    <w:r w:rsidR="00E77912">
      <w:rPr>
        <w:noProof/>
        <w:sz w:val="20"/>
      </w:rPr>
      <w:t>6</w:t>
    </w:r>
    <w:r w:rsidRPr="00BB77B2">
      <w:rPr>
        <w:noProof/>
        <w:sz w:val="20"/>
      </w:rPr>
      <w:fldChar w:fldCharType="end"/>
    </w:r>
  </w:p>
  <w:p w14:paraId="527C6929" w14:textId="77777777" w:rsidR="006C4CC3" w:rsidRDefault="006C4C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994D7" w14:textId="77777777" w:rsidR="006C4CC3" w:rsidRDefault="006C4CC3">
    <w:pPr>
      <w:pStyle w:val="Footer"/>
      <w:jc w:val="right"/>
    </w:pPr>
    <w:r w:rsidRPr="00BB77B2">
      <w:rPr>
        <w:sz w:val="20"/>
      </w:rPr>
      <w:fldChar w:fldCharType="begin"/>
    </w:r>
    <w:r w:rsidRPr="00BB77B2">
      <w:rPr>
        <w:sz w:val="20"/>
      </w:rPr>
      <w:instrText xml:space="preserve"> PAGE   \* MERGEFORMAT </w:instrText>
    </w:r>
    <w:r w:rsidRPr="00BB77B2">
      <w:rPr>
        <w:sz w:val="20"/>
      </w:rPr>
      <w:fldChar w:fldCharType="separate"/>
    </w:r>
    <w:r w:rsidR="00E77912">
      <w:rPr>
        <w:noProof/>
        <w:sz w:val="20"/>
      </w:rPr>
      <w:t>5</w:t>
    </w:r>
    <w:r w:rsidRPr="00BB77B2">
      <w:rPr>
        <w:noProof/>
        <w:sz w:val="20"/>
      </w:rPr>
      <w:fldChar w:fldCharType="end"/>
    </w:r>
  </w:p>
  <w:p w14:paraId="1FCFD160" w14:textId="77777777" w:rsidR="006C4CC3" w:rsidRDefault="006C4C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D922B" w14:textId="77777777" w:rsidR="009648DC" w:rsidRDefault="009648DC" w:rsidP="00844263">
      <w:r>
        <w:separator/>
      </w:r>
    </w:p>
  </w:footnote>
  <w:footnote w:type="continuationSeparator" w:id="0">
    <w:p w14:paraId="737A10B9" w14:textId="77777777" w:rsidR="009648DC" w:rsidRDefault="009648DC" w:rsidP="00844263">
      <w:r>
        <w:continuationSeparator/>
      </w:r>
    </w:p>
  </w:footnote>
  <w:footnote w:id="1">
    <w:p w14:paraId="39A85CF6" w14:textId="5FF0EA30" w:rsidR="006C4CC3" w:rsidRPr="004E156C" w:rsidRDefault="006C4CC3" w:rsidP="00323BD2">
      <w:pPr>
        <w:pStyle w:val="FootnoteText"/>
        <w:rPr>
          <w:rFonts w:cs="Times New Roman"/>
        </w:rPr>
      </w:pPr>
      <w:r w:rsidRPr="004E156C">
        <w:rPr>
          <w:rStyle w:val="FootnoteReference"/>
          <w:rFonts w:cs="Times New Roman"/>
        </w:rPr>
        <w:footnoteRef/>
      </w:r>
      <w:r w:rsidRPr="004E156C">
        <w:rPr>
          <w:rFonts w:cs="Times New Roman"/>
        </w:rPr>
        <w:t xml:space="preserve"> Subsequently updated and revised</w:t>
      </w:r>
      <w:r>
        <w:rPr>
          <w:rFonts w:cs="Times New Roman"/>
        </w:rPr>
        <w:t xml:space="preserve"> by</w:t>
      </w:r>
      <w:r w:rsidRPr="004E156C">
        <w:rPr>
          <w:rFonts w:cs="Times New Roman"/>
        </w:rPr>
        <w:t xml:space="preserve"> Lee </w:t>
      </w:r>
      <w:r w:rsidR="00A26595" w:rsidRPr="00A26595">
        <w:rPr>
          <w:rFonts w:cs="Times New Roman"/>
          <w:i/>
        </w:rPr>
        <w:t>et al.</w:t>
      </w:r>
      <w:r w:rsidRPr="004E156C">
        <w:rPr>
          <w:rFonts w:cs="Times New Roman"/>
        </w:rPr>
        <w:t xml:space="preserve"> (2016)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04188"/>
    <w:multiLevelType w:val="hybridMultilevel"/>
    <w:tmpl w:val="89DE7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394883"/>
    <w:multiLevelType w:val="hybridMultilevel"/>
    <w:tmpl w:val="0E04188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6305E2"/>
    <w:multiLevelType w:val="hybridMultilevel"/>
    <w:tmpl w:val="AF82C14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7462F0"/>
    <w:multiLevelType w:val="hybridMultilevel"/>
    <w:tmpl w:val="AB489BD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10929C3"/>
    <w:multiLevelType w:val="hybridMultilevel"/>
    <w:tmpl w:val="BEBEE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040728"/>
    <w:multiLevelType w:val="hybridMultilevel"/>
    <w:tmpl w:val="857EB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D24CAF"/>
    <w:multiLevelType w:val="hybridMultilevel"/>
    <w:tmpl w:val="1E7E2A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8995D1D"/>
    <w:multiLevelType w:val="hybridMultilevel"/>
    <w:tmpl w:val="BD54F0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BDE520F"/>
    <w:multiLevelType w:val="hybridMultilevel"/>
    <w:tmpl w:val="852A062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3F5320A"/>
    <w:multiLevelType w:val="hybridMultilevel"/>
    <w:tmpl w:val="EAD0EC0C"/>
    <w:lvl w:ilvl="0" w:tplc="08090001">
      <w:start w:val="1"/>
      <w:numFmt w:val="bullet"/>
      <w:lvlText w:val=""/>
      <w:lvlJc w:val="left"/>
      <w:pPr>
        <w:ind w:left="1778" w:hanging="360"/>
      </w:pPr>
      <w:rPr>
        <w:rFonts w:ascii="Symbol" w:hAnsi="Symbol"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10" w15:restartNumberingAfterBreak="0">
    <w:nsid w:val="2C87710F"/>
    <w:multiLevelType w:val="hybridMultilevel"/>
    <w:tmpl w:val="5E10E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0E3DD3"/>
    <w:multiLevelType w:val="hybridMultilevel"/>
    <w:tmpl w:val="EC8AF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102C6E"/>
    <w:multiLevelType w:val="hybridMultilevel"/>
    <w:tmpl w:val="D3A8887C"/>
    <w:lvl w:ilvl="0" w:tplc="08090011">
      <w:start w:val="1"/>
      <w:numFmt w:val="decimal"/>
      <w:lvlText w:val="%1)"/>
      <w:lvlJc w:val="left"/>
      <w:pPr>
        <w:ind w:left="720" w:hanging="360"/>
      </w:pPr>
    </w:lvl>
    <w:lvl w:ilvl="1" w:tplc="6B16B41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00B642C"/>
    <w:multiLevelType w:val="hybridMultilevel"/>
    <w:tmpl w:val="89504F8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02549EF"/>
    <w:multiLevelType w:val="hybridMultilevel"/>
    <w:tmpl w:val="20B62ABC"/>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1553F32"/>
    <w:multiLevelType w:val="hybridMultilevel"/>
    <w:tmpl w:val="4E80F0FE"/>
    <w:lvl w:ilvl="0" w:tplc="1E74878C">
      <w:numFmt w:val="bullet"/>
      <w:lvlText w:val="•"/>
      <w:lvlJc w:val="left"/>
      <w:pPr>
        <w:ind w:left="1778" w:hanging="360"/>
      </w:pPr>
      <w:rPr>
        <w:rFonts w:ascii="Times New Roman" w:eastAsia="Times New Roma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16" w15:restartNumberingAfterBreak="0">
    <w:nsid w:val="41EE0222"/>
    <w:multiLevelType w:val="hybridMultilevel"/>
    <w:tmpl w:val="15B64A2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AB0129E"/>
    <w:multiLevelType w:val="hybridMultilevel"/>
    <w:tmpl w:val="C4BE52E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AE3319D"/>
    <w:multiLevelType w:val="hybridMultilevel"/>
    <w:tmpl w:val="42B8FFF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4B3869A8"/>
    <w:multiLevelType w:val="hybridMultilevel"/>
    <w:tmpl w:val="3C0CE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0B3903"/>
    <w:multiLevelType w:val="hybridMultilevel"/>
    <w:tmpl w:val="EB50FF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7290771"/>
    <w:multiLevelType w:val="hybridMultilevel"/>
    <w:tmpl w:val="3C1AF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675062"/>
    <w:multiLevelType w:val="hybridMultilevel"/>
    <w:tmpl w:val="4DE2269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7FF1A14"/>
    <w:multiLevelType w:val="hybridMultilevel"/>
    <w:tmpl w:val="6A967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812623B"/>
    <w:multiLevelType w:val="hybridMultilevel"/>
    <w:tmpl w:val="63AC4E78"/>
    <w:lvl w:ilvl="0" w:tplc="6CB03E4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5A6C1EDD"/>
    <w:multiLevelType w:val="hybridMultilevel"/>
    <w:tmpl w:val="52A847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00F6C89"/>
    <w:multiLevelType w:val="hybridMultilevel"/>
    <w:tmpl w:val="3662B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486442E"/>
    <w:multiLevelType w:val="hybridMultilevel"/>
    <w:tmpl w:val="9F2C0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E707F6C"/>
    <w:multiLevelType w:val="hybridMultilevel"/>
    <w:tmpl w:val="6DD06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F916C5F"/>
    <w:multiLevelType w:val="hybridMultilevel"/>
    <w:tmpl w:val="8F8EA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1E0613"/>
    <w:multiLevelType w:val="hybridMultilevel"/>
    <w:tmpl w:val="4ADE7E3E"/>
    <w:lvl w:ilvl="0" w:tplc="08090001">
      <w:start w:val="1"/>
      <w:numFmt w:val="bullet"/>
      <w:lvlText w:val=""/>
      <w:lvlJc w:val="left"/>
      <w:pPr>
        <w:ind w:left="1080" w:hanging="72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6C20A5"/>
    <w:multiLevelType w:val="hybridMultilevel"/>
    <w:tmpl w:val="36F00C88"/>
    <w:lvl w:ilvl="0" w:tplc="08090001">
      <w:start w:val="1"/>
      <w:numFmt w:val="bullet"/>
      <w:lvlText w:val=""/>
      <w:lvlJc w:val="left"/>
      <w:pPr>
        <w:ind w:left="1778" w:hanging="360"/>
      </w:pPr>
      <w:rPr>
        <w:rFonts w:ascii="Symbol" w:hAnsi="Symbol"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32" w15:restartNumberingAfterBreak="0">
    <w:nsid w:val="773B7778"/>
    <w:multiLevelType w:val="hybridMultilevel"/>
    <w:tmpl w:val="6BB0CBA0"/>
    <w:lvl w:ilvl="0" w:tplc="1E7487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AA0B5E"/>
    <w:multiLevelType w:val="hybridMultilevel"/>
    <w:tmpl w:val="FE7A583C"/>
    <w:lvl w:ilvl="0" w:tplc="23060D2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79A16702"/>
    <w:multiLevelType w:val="hybridMultilevel"/>
    <w:tmpl w:val="FA0AD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A153B8C"/>
    <w:multiLevelType w:val="hybridMultilevel"/>
    <w:tmpl w:val="70307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733148"/>
    <w:multiLevelType w:val="hybridMultilevel"/>
    <w:tmpl w:val="EA3A4CB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7BB3540E"/>
    <w:multiLevelType w:val="hybridMultilevel"/>
    <w:tmpl w:val="EB5CB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C4C4B50"/>
    <w:multiLevelType w:val="hybridMultilevel"/>
    <w:tmpl w:val="CC3484E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7DBA0F2B"/>
    <w:multiLevelType w:val="hybridMultilevel"/>
    <w:tmpl w:val="84146E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6640268">
    <w:abstractNumId w:val="12"/>
  </w:num>
  <w:num w:numId="2" w16cid:durableId="2083021013">
    <w:abstractNumId w:val="10"/>
  </w:num>
  <w:num w:numId="3" w16cid:durableId="1945264876">
    <w:abstractNumId w:val="29"/>
  </w:num>
  <w:num w:numId="4" w16cid:durableId="110785609">
    <w:abstractNumId w:val="1"/>
  </w:num>
  <w:num w:numId="5" w16cid:durableId="1899129774">
    <w:abstractNumId w:val="37"/>
  </w:num>
  <w:num w:numId="6" w16cid:durableId="1848902792">
    <w:abstractNumId w:val="30"/>
  </w:num>
  <w:num w:numId="7" w16cid:durableId="493254862">
    <w:abstractNumId w:val="4"/>
  </w:num>
  <w:num w:numId="8" w16cid:durableId="1469491">
    <w:abstractNumId w:val="28"/>
  </w:num>
  <w:num w:numId="9" w16cid:durableId="270821275">
    <w:abstractNumId w:val="27"/>
  </w:num>
  <w:num w:numId="10" w16cid:durableId="384842054">
    <w:abstractNumId w:val="11"/>
  </w:num>
  <w:num w:numId="11" w16cid:durableId="1338728682">
    <w:abstractNumId w:val="0"/>
  </w:num>
  <w:num w:numId="12" w16cid:durableId="1633747689">
    <w:abstractNumId w:val="14"/>
  </w:num>
  <w:num w:numId="13" w16cid:durableId="171141319">
    <w:abstractNumId w:val="33"/>
  </w:num>
  <w:num w:numId="14" w16cid:durableId="1987321250">
    <w:abstractNumId w:val="24"/>
  </w:num>
  <w:num w:numId="15" w16cid:durableId="1254051712">
    <w:abstractNumId w:val="7"/>
  </w:num>
  <w:num w:numId="16" w16cid:durableId="1759213827">
    <w:abstractNumId w:val="23"/>
  </w:num>
  <w:num w:numId="17" w16cid:durableId="1435859652">
    <w:abstractNumId w:val="26"/>
  </w:num>
  <w:num w:numId="18" w16cid:durableId="164521601">
    <w:abstractNumId w:val="35"/>
  </w:num>
  <w:num w:numId="19" w16cid:durableId="523592354">
    <w:abstractNumId w:val="6"/>
  </w:num>
  <w:num w:numId="20" w16cid:durableId="1329097037">
    <w:abstractNumId w:val="32"/>
  </w:num>
  <w:num w:numId="21" w16cid:durableId="1305310629">
    <w:abstractNumId w:val="19"/>
  </w:num>
  <w:num w:numId="22" w16cid:durableId="702436284">
    <w:abstractNumId w:val="15"/>
  </w:num>
  <w:num w:numId="23" w16cid:durableId="9307510">
    <w:abstractNumId w:val="9"/>
  </w:num>
  <w:num w:numId="24" w16cid:durableId="649866620">
    <w:abstractNumId w:val="31"/>
  </w:num>
  <w:num w:numId="25" w16cid:durableId="1256741972">
    <w:abstractNumId w:val="36"/>
  </w:num>
  <w:num w:numId="26" w16cid:durableId="1880780675">
    <w:abstractNumId w:val="5"/>
  </w:num>
  <w:num w:numId="27" w16cid:durableId="252200442">
    <w:abstractNumId w:val="21"/>
  </w:num>
  <w:num w:numId="28" w16cid:durableId="1347249671">
    <w:abstractNumId w:val="38"/>
  </w:num>
  <w:num w:numId="29" w16cid:durableId="598298938">
    <w:abstractNumId w:val="2"/>
  </w:num>
  <w:num w:numId="30" w16cid:durableId="700785105">
    <w:abstractNumId w:val="8"/>
  </w:num>
  <w:num w:numId="31" w16cid:durableId="771516531">
    <w:abstractNumId w:val="13"/>
  </w:num>
  <w:num w:numId="32" w16cid:durableId="1418598858">
    <w:abstractNumId w:val="16"/>
  </w:num>
  <w:num w:numId="33" w16cid:durableId="1205101655">
    <w:abstractNumId w:val="39"/>
  </w:num>
  <w:num w:numId="34" w16cid:durableId="1897742518">
    <w:abstractNumId w:val="22"/>
  </w:num>
  <w:num w:numId="35" w16cid:durableId="1699700386">
    <w:abstractNumId w:val="3"/>
  </w:num>
  <w:num w:numId="36" w16cid:durableId="416290143">
    <w:abstractNumId w:val="20"/>
  </w:num>
  <w:num w:numId="37" w16cid:durableId="1203594234">
    <w:abstractNumId w:val="18"/>
  </w:num>
  <w:num w:numId="38" w16cid:durableId="1336152835">
    <w:abstractNumId w:val="17"/>
  </w:num>
  <w:num w:numId="39" w16cid:durableId="2026327397">
    <w:abstractNumId w:val="25"/>
  </w:num>
  <w:num w:numId="40" w16cid:durableId="278487924">
    <w:abstractNumId w:val="3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2B73"/>
    <w:rsid w:val="0000309E"/>
    <w:rsid w:val="00004DD7"/>
    <w:rsid w:val="00005EF8"/>
    <w:rsid w:val="00007028"/>
    <w:rsid w:val="00011E06"/>
    <w:rsid w:val="0001414B"/>
    <w:rsid w:val="00016D51"/>
    <w:rsid w:val="00020957"/>
    <w:rsid w:val="000228A7"/>
    <w:rsid w:val="000239E7"/>
    <w:rsid w:val="00023FC3"/>
    <w:rsid w:val="00024108"/>
    <w:rsid w:val="00024CEF"/>
    <w:rsid w:val="00025B2E"/>
    <w:rsid w:val="00027A9A"/>
    <w:rsid w:val="00034296"/>
    <w:rsid w:val="00035316"/>
    <w:rsid w:val="00041814"/>
    <w:rsid w:val="00043017"/>
    <w:rsid w:val="00043629"/>
    <w:rsid w:val="00046D24"/>
    <w:rsid w:val="00046E6F"/>
    <w:rsid w:val="000568FA"/>
    <w:rsid w:val="00060A2B"/>
    <w:rsid w:val="000613D4"/>
    <w:rsid w:val="0006142D"/>
    <w:rsid w:val="00061F4D"/>
    <w:rsid w:val="0006309C"/>
    <w:rsid w:val="00066054"/>
    <w:rsid w:val="00066278"/>
    <w:rsid w:val="00070B38"/>
    <w:rsid w:val="00070B91"/>
    <w:rsid w:val="00070FE9"/>
    <w:rsid w:val="00073712"/>
    <w:rsid w:val="000833E7"/>
    <w:rsid w:val="0008445C"/>
    <w:rsid w:val="00086D3A"/>
    <w:rsid w:val="00091E2E"/>
    <w:rsid w:val="00091EC8"/>
    <w:rsid w:val="000960CB"/>
    <w:rsid w:val="0009653D"/>
    <w:rsid w:val="00097199"/>
    <w:rsid w:val="000A0A6B"/>
    <w:rsid w:val="000A101E"/>
    <w:rsid w:val="000A45A0"/>
    <w:rsid w:val="000A6767"/>
    <w:rsid w:val="000A739A"/>
    <w:rsid w:val="000B3787"/>
    <w:rsid w:val="000C15D3"/>
    <w:rsid w:val="000C1EFB"/>
    <w:rsid w:val="000C20E0"/>
    <w:rsid w:val="000C3809"/>
    <w:rsid w:val="000C467F"/>
    <w:rsid w:val="000C5C5B"/>
    <w:rsid w:val="000C6475"/>
    <w:rsid w:val="000C77F6"/>
    <w:rsid w:val="000D01DC"/>
    <w:rsid w:val="000D23FB"/>
    <w:rsid w:val="000D6593"/>
    <w:rsid w:val="000D70D2"/>
    <w:rsid w:val="000D7CC6"/>
    <w:rsid w:val="000E0B29"/>
    <w:rsid w:val="000E15AD"/>
    <w:rsid w:val="000E16A4"/>
    <w:rsid w:val="000E2F91"/>
    <w:rsid w:val="000E35A3"/>
    <w:rsid w:val="000E41D2"/>
    <w:rsid w:val="000F05E5"/>
    <w:rsid w:val="000F2114"/>
    <w:rsid w:val="000F469D"/>
    <w:rsid w:val="0010115A"/>
    <w:rsid w:val="00101536"/>
    <w:rsid w:val="001027DC"/>
    <w:rsid w:val="001029F3"/>
    <w:rsid w:val="00106A0B"/>
    <w:rsid w:val="00107ACD"/>
    <w:rsid w:val="00111467"/>
    <w:rsid w:val="001157D0"/>
    <w:rsid w:val="001157DB"/>
    <w:rsid w:val="00117226"/>
    <w:rsid w:val="001174C8"/>
    <w:rsid w:val="00120C10"/>
    <w:rsid w:val="0012526E"/>
    <w:rsid w:val="001257C4"/>
    <w:rsid w:val="001270BE"/>
    <w:rsid w:val="00127647"/>
    <w:rsid w:val="00127915"/>
    <w:rsid w:val="0013448D"/>
    <w:rsid w:val="00136E41"/>
    <w:rsid w:val="00140FFB"/>
    <w:rsid w:val="00142408"/>
    <w:rsid w:val="00142DA1"/>
    <w:rsid w:val="0014385C"/>
    <w:rsid w:val="00143BBB"/>
    <w:rsid w:val="00143C5F"/>
    <w:rsid w:val="001466D6"/>
    <w:rsid w:val="0014678C"/>
    <w:rsid w:val="00152391"/>
    <w:rsid w:val="00155B05"/>
    <w:rsid w:val="00157381"/>
    <w:rsid w:val="00157E5A"/>
    <w:rsid w:val="00160B54"/>
    <w:rsid w:val="0016172E"/>
    <w:rsid w:val="0016295F"/>
    <w:rsid w:val="00163314"/>
    <w:rsid w:val="001642E6"/>
    <w:rsid w:val="001670C9"/>
    <w:rsid w:val="0017003B"/>
    <w:rsid w:val="001736C3"/>
    <w:rsid w:val="0017412F"/>
    <w:rsid w:val="001763CF"/>
    <w:rsid w:val="001807B0"/>
    <w:rsid w:val="00181BE5"/>
    <w:rsid w:val="00182CF1"/>
    <w:rsid w:val="00182E48"/>
    <w:rsid w:val="00183CBD"/>
    <w:rsid w:val="001871B0"/>
    <w:rsid w:val="00190CD6"/>
    <w:rsid w:val="0019233D"/>
    <w:rsid w:val="00193D63"/>
    <w:rsid w:val="00194243"/>
    <w:rsid w:val="001965EF"/>
    <w:rsid w:val="001A7C2C"/>
    <w:rsid w:val="001B2C2E"/>
    <w:rsid w:val="001B3AEE"/>
    <w:rsid w:val="001B3DF5"/>
    <w:rsid w:val="001B428D"/>
    <w:rsid w:val="001B500F"/>
    <w:rsid w:val="001B5F16"/>
    <w:rsid w:val="001C15F6"/>
    <w:rsid w:val="001C2645"/>
    <w:rsid w:val="001C2DDB"/>
    <w:rsid w:val="001C6E8B"/>
    <w:rsid w:val="001D11D3"/>
    <w:rsid w:val="001D22E6"/>
    <w:rsid w:val="001D3C96"/>
    <w:rsid w:val="001D681A"/>
    <w:rsid w:val="001E151C"/>
    <w:rsid w:val="001E34F4"/>
    <w:rsid w:val="001E370D"/>
    <w:rsid w:val="001F0F50"/>
    <w:rsid w:val="00202002"/>
    <w:rsid w:val="00207281"/>
    <w:rsid w:val="00207CF8"/>
    <w:rsid w:val="00210870"/>
    <w:rsid w:val="002121F1"/>
    <w:rsid w:val="00213018"/>
    <w:rsid w:val="00214DDC"/>
    <w:rsid w:val="00216567"/>
    <w:rsid w:val="00217076"/>
    <w:rsid w:val="00221528"/>
    <w:rsid w:val="00222A77"/>
    <w:rsid w:val="00222C58"/>
    <w:rsid w:val="00223569"/>
    <w:rsid w:val="00223B7D"/>
    <w:rsid w:val="00223E9F"/>
    <w:rsid w:val="00230512"/>
    <w:rsid w:val="00230DA2"/>
    <w:rsid w:val="00230E8E"/>
    <w:rsid w:val="00231AE9"/>
    <w:rsid w:val="00233ADB"/>
    <w:rsid w:val="00237083"/>
    <w:rsid w:val="002423CA"/>
    <w:rsid w:val="00242CDD"/>
    <w:rsid w:val="0024333B"/>
    <w:rsid w:val="00243ECA"/>
    <w:rsid w:val="002442F0"/>
    <w:rsid w:val="00246170"/>
    <w:rsid w:val="00246944"/>
    <w:rsid w:val="0025045D"/>
    <w:rsid w:val="002531D0"/>
    <w:rsid w:val="00253C84"/>
    <w:rsid w:val="002602C0"/>
    <w:rsid w:val="002627EC"/>
    <w:rsid w:val="002630D0"/>
    <w:rsid w:val="00264151"/>
    <w:rsid w:val="00265CFD"/>
    <w:rsid w:val="00270C05"/>
    <w:rsid w:val="0027110C"/>
    <w:rsid w:val="00271757"/>
    <w:rsid w:val="00272A6B"/>
    <w:rsid w:val="00274849"/>
    <w:rsid w:val="00290BAB"/>
    <w:rsid w:val="00291859"/>
    <w:rsid w:val="00291B31"/>
    <w:rsid w:val="00296802"/>
    <w:rsid w:val="002A1777"/>
    <w:rsid w:val="002A4921"/>
    <w:rsid w:val="002A5D3C"/>
    <w:rsid w:val="002A7994"/>
    <w:rsid w:val="002A79EF"/>
    <w:rsid w:val="002B0C67"/>
    <w:rsid w:val="002B1BC6"/>
    <w:rsid w:val="002B33EB"/>
    <w:rsid w:val="002B5C99"/>
    <w:rsid w:val="002B63A3"/>
    <w:rsid w:val="002C014D"/>
    <w:rsid w:val="002C05E1"/>
    <w:rsid w:val="002C202C"/>
    <w:rsid w:val="002C2C9F"/>
    <w:rsid w:val="002C3389"/>
    <w:rsid w:val="002C698E"/>
    <w:rsid w:val="002C706F"/>
    <w:rsid w:val="002D0038"/>
    <w:rsid w:val="002D4E94"/>
    <w:rsid w:val="002D63E2"/>
    <w:rsid w:val="002E17A8"/>
    <w:rsid w:val="002E1A4F"/>
    <w:rsid w:val="002E352E"/>
    <w:rsid w:val="002E3ACB"/>
    <w:rsid w:val="002F0F6A"/>
    <w:rsid w:val="002F141B"/>
    <w:rsid w:val="002F551C"/>
    <w:rsid w:val="002F6769"/>
    <w:rsid w:val="003017EF"/>
    <w:rsid w:val="00301C4F"/>
    <w:rsid w:val="00303A42"/>
    <w:rsid w:val="003101FA"/>
    <w:rsid w:val="0031121A"/>
    <w:rsid w:val="00311449"/>
    <w:rsid w:val="00312703"/>
    <w:rsid w:val="00313DFF"/>
    <w:rsid w:val="0031593A"/>
    <w:rsid w:val="00316A81"/>
    <w:rsid w:val="00320304"/>
    <w:rsid w:val="00323BD2"/>
    <w:rsid w:val="00325ED4"/>
    <w:rsid w:val="003303EC"/>
    <w:rsid w:val="00335102"/>
    <w:rsid w:val="0033545B"/>
    <w:rsid w:val="00340CF0"/>
    <w:rsid w:val="00341416"/>
    <w:rsid w:val="00342747"/>
    <w:rsid w:val="0034290D"/>
    <w:rsid w:val="00342DE7"/>
    <w:rsid w:val="00343242"/>
    <w:rsid w:val="0034351A"/>
    <w:rsid w:val="0034514A"/>
    <w:rsid w:val="003461EB"/>
    <w:rsid w:val="0034635B"/>
    <w:rsid w:val="00352CF6"/>
    <w:rsid w:val="0035478D"/>
    <w:rsid w:val="00357635"/>
    <w:rsid w:val="00357B11"/>
    <w:rsid w:val="003605CA"/>
    <w:rsid w:val="00361CC7"/>
    <w:rsid w:val="00363884"/>
    <w:rsid w:val="00366923"/>
    <w:rsid w:val="0036693A"/>
    <w:rsid w:val="00370A6B"/>
    <w:rsid w:val="0037102B"/>
    <w:rsid w:val="00371D6E"/>
    <w:rsid w:val="00374ACD"/>
    <w:rsid w:val="00376B8B"/>
    <w:rsid w:val="00376F6A"/>
    <w:rsid w:val="00377912"/>
    <w:rsid w:val="003806A3"/>
    <w:rsid w:val="00385606"/>
    <w:rsid w:val="00385EB1"/>
    <w:rsid w:val="0039013B"/>
    <w:rsid w:val="003916CB"/>
    <w:rsid w:val="003917E0"/>
    <w:rsid w:val="003921F7"/>
    <w:rsid w:val="0039274D"/>
    <w:rsid w:val="00396F4E"/>
    <w:rsid w:val="003A10D3"/>
    <w:rsid w:val="003A314D"/>
    <w:rsid w:val="003A340E"/>
    <w:rsid w:val="003A416E"/>
    <w:rsid w:val="003A5B23"/>
    <w:rsid w:val="003A7258"/>
    <w:rsid w:val="003B0AC4"/>
    <w:rsid w:val="003B3D44"/>
    <w:rsid w:val="003C17C9"/>
    <w:rsid w:val="003C2813"/>
    <w:rsid w:val="003C3A30"/>
    <w:rsid w:val="003D1B54"/>
    <w:rsid w:val="003D7430"/>
    <w:rsid w:val="003D779E"/>
    <w:rsid w:val="003D7CB1"/>
    <w:rsid w:val="003E1325"/>
    <w:rsid w:val="003E5622"/>
    <w:rsid w:val="003E7843"/>
    <w:rsid w:val="003E788F"/>
    <w:rsid w:val="003F0129"/>
    <w:rsid w:val="003F1BF4"/>
    <w:rsid w:val="003F350E"/>
    <w:rsid w:val="003F6091"/>
    <w:rsid w:val="003F703C"/>
    <w:rsid w:val="004027D3"/>
    <w:rsid w:val="004032FE"/>
    <w:rsid w:val="00404BFC"/>
    <w:rsid w:val="004078DA"/>
    <w:rsid w:val="00410792"/>
    <w:rsid w:val="00413B55"/>
    <w:rsid w:val="00413F81"/>
    <w:rsid w:val="00415DA2"/>
    <w:rsid w:val="004201F8"/>
    <w:rsid w:val="004251E0"/>
    <w:rsid w:val="00426EA9"/>
    <w:rsid w:val="004303FD"/>
    <w:rsid w:val="00431F18"/>
    <w:rsid w:val="004358B8"/>
    <w:rsid w:val="004361B1"/>
    <w:rsid w:val="004373BE"/>
    <w:rsid w:val="00437D1D"/>
    <w:rsid w:val="00443E3D"/>
    <w:rsid w:val="00445778"/>
    <w:rsid w:val="0045134E"/>
    <w:rsid w:val="0045237F"/>
    <w:rsid w:val="004533A0"/>
    <w:rsid w:val="004535DE"/>
    <w:rsid w:val="00455DE3"/>
    <w:rsid w:val="00456A45"/>
    <w:rsid w:val="00457780"/>
    <w:rsid w:val="004612EA"/>
    <w:rsid w:val="00461A36"/>
    <w:rsid w:val="00462771"/>
    <w:rsid w:val="0047044D"/>
    <w:rsid w:val="00471B5D"/>
    <w:rsid w:val="00472792"/>
    <w:rsid w:val="004728E1"/>
    <w:rsid w:val="0047565D"/>
    <w:rsid w:val="004756DC"/>
    <w:rsid w:val="00475D52"/>
    <w:rsid w:val="00481587"/>
    <w:rsid w:val="00484876"/>
    <w:rsid w:val="00485974"/>
    <w:rsid w:val="0048701D"/>
    <w:rsid w:val="004902E3"/>
    <w:rsid w:val="00490A14"/>
    <w:rsid w:val="00491878"/>
    <w:rsid w:val="00492512"/>
    <w:rsid w:val="00492A94"/>
    <w:rsid w:val="00493054"/>
    <w:rsid w:val="00493795"/>
    <w:rsid w:val="00495858"/>
    <w:rsid w:val="00495B9F"/>
    <w:rsid w:val="00495C51"/>
    <w:rsid w:val="004A104F"/>
    <w:rsid w:val="004A1313"/>
    <w:rsid w:val="004A2815"/>
    <w:rsid w:val="004A4E0C"/>
    <w:rsid w:val="004B0069"/>
    <w:rsid w:val="004B12A5"/>
    <w:rsid w:val="004B5413"/>
    <w:rsid w:val="004B6709"/>
    <w:rsid w:val="004C5F95"/>
    <w:rsid w:val="004C6EE5"/>
    <w:rsid w:val="004C708D"/>
    <w:rsid w:val="004D0310"/>
    <w:rsid w:val="004D2D9A"/>
    <w:rsid w:val="004D59CB"/>
    <w:rsid w:val="004D5FAE"/>
    <w:rsid w:val="004D67E3"/>
    <w:rsid w:val="004D6AC8"/>
    <w:rsid w:val="004E13F7"/>
    <w:rsid w:val="004E17CE"/>
    <w:rsid w:val="004E667C"/>
    <w:rsid w:val="004E7522"/>
    <w:rsid w:val="004F2599"/>
    <w:rsid w:val="004F3B16"/>
    <w:rsid w:val="004F3D51"/>
    <w:rsid w:val="004F4499"/>
    <w:rsid w:val="004F4CDF"/>
    <w:rsid w:val="004F6D1E"/>
    <w:rsid w:val="004F74DF"/>
    <w:rsid w:val="00503C5C"/>
    <w:rsid w:val="00504368"/>
    <w:rsid w:val="00506AF5"/>
    <w:rsid w:val="00506D5D"/>
    <w:rsid w:val="0051001F"/>
    <w:rsid w:val="00511701"/>
    <w:rsid w:val="00513A12"/>
    <w:rsid w:val="00514A7A"/>
    <w:rsid w:val="005175D9"/>
    <w:rsid w:val="0051783F"/>
    <w:rsid w:val="00517A63"/>
    <w:rsid w:val="00521CCA"/>
    <w:rsid w:val="005221B3"/>
    <w:rsid w:val="005232AE"/>
    <w:rsid w:val="00523988"/>
    <w:rsid w:val="005244B9"/>
    <w:rsid w:val="005262C4"/>
    <w:rsid w:val="0052714A"/>
    <w:rsid w:val="00532A41"/>
    <w:rsid w:val="00532C19"/>
    <w:rsid w:val="00532DF8"/>
    <w:rsid w:val="00534646"/>
    <w:rsid w:val="00536FBF"/>
    <w:rsid w:val="00541A11"/>
    <w:rsid w:val="00542AA4"/>
    <w:rsid w:val="00545888"/>
    <w:rsid w:val="00545948"/>
    <w:rsid w:val="00551E34"/>
    <w:rsid w:val="00552579"/>
    <w:rsid w:val="005551D9"/>
    <w:rsid w:val="005610E0"/>
    <w:rsid w:val="0056162C"/>
    <w:rsid w:val="005626B5"/>
    <w:rsid w:val="005651B2"/>
    <w:rsid w:val="005672DB"/>
    <w:rsid w:val="00567830"/>
    <w:rsid w:val="00567965"/>
    <w:rsid w:val="00567AC3"/>
    <w:rsid w:val="00571141"/>
    <w:rsid w:val="0057175B"/>
    <w:rsid w:val="00571ACE"/>
    <w:rsid w:val="005724B5"/>
    <w:rsid w:val="005752FC"/>
    <w:rsid w:val="00575943"/>
    <w:rsid w:val="00575F99"/>
    <w:rsid w:val="00581AE4"/>
    <w:rsid w:val="00581EEE"/>
    <w:rsid w:val="005824FB"/>
    <w:rsid w:val="005835A9"/>
    <w:rsid w:val="00586AC4"/>
    <w:rsid w:val="005931CB"/>
    <w:rsid w:val="0059498C"/>
    <w:rsid w:val="00594E99"/>
    <w:rsid w:val="005A07F3"/>
    <w:rsid w:val="005A1314"/>
    <w:rsid w:val="005A29A7"/>
    <w:rsid w:val="005A3449"/>
    <w:rsid w:val="005A3B61"/>
    <w:rsid w:val="005A50CA"/>
    <w:rsid w:val="005A5910"/>
    <w:rsid w:val="005A5CCD"/>
    <w:rsid w:val="005A63A0"/>
    <w:rsid w:val="005A6A03"/>
    <w:rsid w:val="005B24A3"/>
    <w:rsid w:val="005B3265"/>
    <w:rsid w:val="005B3765"/>
    <w:rsid w:val="005B49E6"/>
    <w:rsid w:val="005B4EED"/>
    <w:rsid w:val="005B6E94"/>
    <w:rsid w:val="005B77C2"/>
    <w:rsid w:val="005C3920"/>
    <w:rsid w:val="005C4BF7"/>
    <w:rsid w:val="005C53F3"/>
    <w:rsid w:val="005C60AA"/>
    <w:rsid w:val="005C6563"/>
    <w:rsid w:val="005C796C"/>
    <w:rsid w:val="005D1EF9"/>
    <w:rsid w:val="005D3AFE"/>
    <w:rsid w:val="005D4924"/>
    <w:rsid w:val="005D5999"/>
    <w:rsid w:val="005E0367"/>
    <w:rsid w:val="005E0C28"/>
    <w:rsid w:val="005E2BE6"/>
    <w:rsid w:val="005E32DC"/>
    <w:rsid w:val="005E4660"/>
    <w:rsid w:val="005E5467"/>
    <w:rsid w:val="005E5663"/>
    <w:rsid w:val="005E6A30"/>
    <w:rsid w:val="005E72C9"/>
    <w:rsid w:val="005E7B15"/>
    <w:rsid w:val="005F1A68"/>
    <w:rsid w:val="005F4C31"/>
    <w:rsid w:val="0060302C"/>
    <w:rsid w:val="006046F6"/>
    <w:rsid w:val="00604E47"/>
    <w:rsid w:val="00610260"/>
    <w:rsid w:val="00610BD4"/>
    <w:rsid w:val="00610DB5"/>
    <w:rsid w:val="006139CE"/>
    <w:rsid w:val="00614145"/>
    <w:rsid w:val="006158AC"/>
    <w:rsid w:val="006165DB"/>
    <w:rsid w:val="0061759E"/>
    <w:rsid w:val="006201FF"/>
    <w:rsid w:val="00621110"/>
    <w:rsid w:val="0062177C"/>
    <w:rsid w:val="00630953"/>
    <w:rsid w:val="0063591C"/>
    <w:rsid w:val="00636CC7"/>
    <w:rsid w:val="0063761E"/>
    <w:rsid w:val="00637FAE"/>
    <w:rsid w:val="006421B4"/>
    <w:rsid w:val="00645042"/>
    <w:rsid w:val="00646561"/>
    <w:rsid w:val="00650F1D"/>
    <w:rsid w:val="00651F16"/>
    <w:rsid w:val="006655CC"/>
    <w:rsid w:val="00666CD7"/>
    <w:rsid w:val="00667766"/>
    <w:rsid w:val="00667BD9"/>
    <w:rsid w:val="006721D0"/>
    <w:rsid w:val="0067691E"/>
    <w:rsid w:val="00677338"/>
    <w:rsid w:val="0068022C"/>
    <w:rsid w:val="00680CE1"/>
    <w:rsid w:val="00682A1E"/>
    <w:rsid w:val="00686A90"/>
    <w:rsid w:val="00687131"/>
    <w:rsid w:val="00690A73"/>
    <w:rsid w:val="0069265C"/>
    <w:rsid w:val="006935E0"/>
    <w:rsid w:val="00694FB6"/>
    <w:rsid w:val="00695285"/>
    <w:rsid w:val="006A056C"/>
    <w:rsid w:val="006A0C86"/>
    <w:rsid w:val="006A10B7"/>
    <w:rsid w:val="006A2E95"/>
    <w:rsid w:val="006A6A27"/>
    <w:rsid w:val="006B0BF7"/>
    <w:rsid w:val="006B178F"/>
    <w:rsid w:val="006B4D45"/>
    <w:rsid w:val="006B4DC7"/>
    <w:rsid w:val="006B6D0B"/>
    <w:rsid w:val="006B756F"/>
    <w:rsid w:val="006B772F"/>
    <w:rsid w:val="006C2C0F"/>
    <w:rsid w:val="006C4CC3"/>
    <w:rsid w:val="006D0756"/>
    <w:rsid w:val="006D2584"/>
    <w:rsid w:val="006D3007"/>
    <w:rsid w:val="006D7339"/>
    <w:rsid w:val="006E059C"/>
    <w:rsid w:val="006E4D4D"/>
    <w:rsid w:val="006E7BE0"/>
    <w:rsid w:val="006F0D08"/>
    <w:rsid w:val="006F32F0"/>
    <w:rsid w:val="006F3A02"/>
    <w:rsid w:val="006F6CDE"/>
    <w:rsid w:val="006F70C5"/>
    <w:rsid w:val="006F7B71"/>
    <w:rsid w:val="0070104A"/>
    <w:rsid w:val="00704822"/>
    <w:rsid w:val="00704FD6"/>
    <w:rsid w:val="00705134"/>
    <w:rsid w:val="00705A35"/>
    <w:rsid w:val="0070647B"/>
    <w:rsid w:val="007118C0"/>
    <w:rsid w:val="00712479"/>
    <w:rsid w:val="007138DB"/>
    <w:rsid w:val="00715574"/>
    <w:rsid w:val="00717DBA"/>
    <w:rsid w:val="00720AEA"/>
    <w:rsid w:val="007256A6"/>
    <w:rsid w:val="00727046"/>
    <w:rsid w:val="0073237D"/>
    <w:rsid w:val="0073318D"/>
    <w:rsid w:val="0073418A"/>
    <w:rsid w:val="007411FF"/>
    <w:rsid w:val="0074286A"/>
    <w:rsid w:val="00745067"/>
    <w:rsid w:val="007455F9"/>
    <w:rsid w:val="007478B9"/>
    <w:rsid w:val="0075102B"/>
    <w:rsid w:val="00751E18"/>
    <w:rsid w:val="00753A41"/>
    <w:rsid w:val="00755125"/>
    <w:rsid w:val="0075575E"/>
    <w:rsid w:val="00755A0A"/>
    <w:rsid w:val="00757098"/>
    <w:rsid w:val="0075734C"/>
    <w:rsid w:val="0076026C"/>
    <w:rsid w:val="007638B1"/>
    <w:rsid w:val="00764F1C"/>
    <w:rsid w:val="007654F8"/>
    <w:rsid w:val="007705ED"/>
    <w:rsid w:val="00770826"/>
    <w:rsid w:val="00770FA1"/>
    <w:rsid w:val="007774E5"/>
    <w:rsid w:val="00777DE1"/>
    <w:rsid w:val="00781F13"/>
    <w:rsid w:val="0078381C"/>
    <w:rsid w:val="00785949"/>
    <w:rsid w:val="007905FF"/>
    <w:rsid w:val="00790D25"/>
    <w:rsid w:val="0079179E"/>
    <w:rsid w:val="007935F3"/>
    <w:rsid w:val="007937F2"/>
    <w:rsid w:val="00795656"/>
    <w:rsid w:val="00795D4E"/>
    <w:rsid w:val="007969EC"/>
    <w:rsid w:val="00796E39"/>
    <w:rsid w:val="007A4CF7"/>
    <w:rsid w:val="007A683B"/>
    <w:rsid w:val="007B23D9"/>
    <w:rsid w:val="007B2C03"/>
    <w:rsid w:val="007B365D"/>
    <w:rsid w:val="007B5A70"/>
    <w:rsid w:val="007C0098"/>
    <w:rsid w:val="007C4592"/>
    <w:rsid w:val="007C4CC9"/>
    <w:rsid w:val="007C5AAB"/>
    <w:rsid w:val="007C7720"/>
    <w:rsid w:val="007D0135"/>
    <w:rsid w:val="007D0F0A"/>
    <w:rsid w:val="007D5116"/>
    <w:rsid w:val="007D6780"/>
    <w:rsid w:val="007E025E"/>
    <w:rsid w:val="007E1079"/>
    <w:rsid w:val="007E2D69"/>
    <w:rsid w:val="007E4E99"/>
    <w:rsid w:val="007E523D"/>
    <w:rsid w:val="007E66C9"/>
    <w:rsid w:val="007F0D13"/>
    <w:rsid w:val="007F15B4"/>
    <w:rsid w:val="007F19B8"/>
    <w:rsid w:val="007F1F38"/>
    <w:rsid w:val="007F7A1E"/>
    <w:rsid w:val="008005B4"/>
    <w:rsid w:val="00800930"/>
    <w:rsid w:val="00800EAA"/>
    <w:rsid w:val="008018A4"/>
    <w:rsid w:val="00804991"/>
    <w:rsid w:val="00807F71"/>
    <w:rsid w:val="00814BEC"/>
    <w:rsid w:val="0081563F"/>
    <w:rsid w:val="00815EEE"/>
    <w:rsid w:val="0081641D"/>
    <w:rsid w:val="00821E7A"/>
    <w:rsid w:val="00823E51"/>
    <w:rsid w:val="0082578D"/>
    <w:rsid w:val="00825BF7"/>
    <w:rsid w:val="00832D4A"/>
    <w:rsid w:val="00835B83"/>
    <w:rsid w:val="00835CB9"/>
    <w:rsid w:val="00836112"/>
    <w:rsid w:val="00836153"/>
    <w:rsid w:val="00836504"/>
    <w:rsid w:val="00840B13"/>
    <w:rsid w:val="00842F27"/>
    <w:rsid w:val="00844263"/>
    <w:rsid w:val="00844694"/>
    <w:rsid w:val="0084498C"/>
    <w:rsid w:val="00845884"/>
    <w:rsid w:val="0085012D"/>
    <w:rsid w:val="00855487"/>
    <w:rsid w:val="00855989"/>
    <w:rsid w:val="00855DCC"/>
    <w:rsid w:val="008614CA"/>
    <w:rsid w:val="00862BF1"/>
    <w:rsid w:val="00863B47"/>
    <w:rsid w:val="00864FBB"/>
    <w:rsid w:val="008653CE"/>
    <w:rsid w:val="00865D31"/>
    <w:rsid w:val="00865D4B"/>
    <w:rsid w:val="00870EA3"/>
    <w:rsid w:val="00874AFA"/>
    <w:rsid w:val="00877FCF"/>
    <w:rsid w:val="00881E6E"/>
    <w:rsid w:val="008834B4"/>
    <w:rsid w:val="00883742"/>
    <w:rsid w:val="0088449A"/>
    <w:rsid w:val="00884686"/>
    <w:rsid w:val="00884CBF"/>
    <w:rsid w:val="008862BF"/>
    <w:rsid w:val="00890B34"/>
    <w:rsid w:val="008910F9"/>
    <w:rsid w:val="00891A4A"/>
    <w:rsid w:val="008920D2"/>
    <w:rsid w:val="008A258C"/>
    <w:rsid w:val="008B1531"/>
    <w:rsid w:val="008B35F0"/>
    <w:rsid w:val="008B3D9C"/>
    <w:rsid w:val="008B4150"/>
    <w:rsid w:val="008B4602"/>
    <w:rsid w:val="008B489F"/>
    <w:rsid w:val="008B61D6"/>
    <w:rsid w:val="008B6EFF"/>
    <w:rsid w:val="008B74DF"/>
    <w:rsid w:val="008C1604"/>
    <w:rsid w:val="008C1E89"/>
    <w:rsid w:val="008C245C"/>
    <w:rsid w:val="008C3D17"/>
    <w:rsid w:val="008C673A"/>
    <w:rsid w:val="008D08C5"/>
    <w:rsid w:val="008D24B8"/>
    <w:rsid w:val="008D2A29"/>
    <w:rsid w:val="008D499E"/>
    <w:rsid w:val="008D4E35"/>
    <w:rsid w:val="008D4E43"/>
    <w:rsid w:val="008D5B9D"/>
    <w:rsid w:val="008E28C5"/>
    <w:rsid w:val="008E2EED"/>
    <w:rsid w:val="008E3B5D"/>
    <w:rsid w:val="008E5475"/>
    <w:rsid w:val="008E66C7"/>
    <w:rsid w:val="008F1388"/>
    <w:rsid w:val="008F76CD"/>
    <w:rsid w:val="00900186"/>
    <w:rsid w:val="00900AFB"/>
    <w:rsid w:val="00903508"/>
    <w:rsid w:val="00904257"/>
    <w:rsid w:val="00906385"/>
    <w:rsid w:val="009108E9"/>
    <w:rsid w:val="00913E67"/>
    <w:rsid w:val="00914573"/>
    <w:rsid w:val="00914A41"/>
    <w:rsid w:val="009200EE"/>
    <w:rsid w:val="00920367"/>
    <w:rsid w:val="00920702"/>
    <w:rsid w:val="00920FCE"/>
    <w:rsid w:val="00923207"/>
    <w:rsid w:val="00923F50"/>
    <w:rsid w:val="00924384"/>
    <w:rsid w:val="00925933"/>
    <w:rsid w:val="00927A61"/>
    <w:rsid w:val="009340A8"/>
    <w:rsid w:val="00934BED"/>
    <w:rsid w:val="00935B6E"/>
    <w:rsid w:val="009369A1"/>
    <w:rsid w:val="00940B90"/>
    <w:rsid w:val="00942FCA"/>
    <w:rsid w:val="00943B2E"/>
    <w:rsid w:val="00957FC9"/>
    <w:rsid w:val="0096218F"/>
    <w:rsid w:val="009648DC"/>
    <w:rsid w:val="00967F47"/>
    <w:rsid w:val="009706DC"/>
    <w:rsid w:val="0097124B"/>
    <w:rsid w:val="00971347"/>
    <w:rsid w:val="00976F0B"/>
    <w:rsid w:val="00977550"/>
    <w:rsid w:val="00980CAB"/>
    <w:rsid w:val="00980ECC"/>
    <w:rsid w:val="009812E1"/>
    <w:rsid w:val="00982A68"/>
    <w:rsid w:val="009837FA"/>
    <w:rsid w:val="00985B1C"/>
    <w:rsid w:val="00990009"/>
    <w:rsid w:val="0099054E"/>
    <w:rsid w:val="00990930"/>
    <w:rsid w:val="00992D5F"/>
    <w:rsid w:val="00993BB0"/>
    <w:rsid w:val="00994292"/>
    <w:rsid w:val="00996787"/>
    <w:rsid w:val="00997CDF"/>
    <w:rsid w:val="009A05E8"/>
    <w:rsid w:val="009A1386"/>
    <w:rsid w:val="009A4963"/>
    <w:rsid w:val="009A4EF6"/>
    <w:rsid w:val="009A7E19"/>
    <w:rsid w:val="009A7E90"/>
    <w:rsid w:val="009B1D3F"/>
    <w:rsid w:val="009B2F80"/>
    <w:rsid w:val="009B33BA"/>
    <w:rsid w:val="009B3B5B"/>
    <w:rsid w:val="009B79AB"/>
    <w:rsid w:val="009C095B"/>
    <w:rsid w:val="009C0EBD"/>
    <w:rsid w:val="009C2674"/>
    <w:rsid w:val="009C49A2"/>
    <w:rsid w:val="009C64E0"/>
    <w:rsid w:val="009D0AF7"/>
    <w:rsid w:val="009D0D75"/>
    <w:rsid w:val="009D2965"/>
    <w:rsid w:val="009D4399"/>
    <w:rsid w:val="009D5B9D"/>
    <w:rsid w:val="009D5B9E"/>
    <w:rsid w:val="009D611E"/>
    <w:rsid w:val="009D6A06"/>
    <w:rsid w:val="009F0935"/>
    <w:rsid w:val="009F11B6"/>
    <w:rsid w:val="009F1293"/>
    <w:rsid w:val="009F1986"/>
    <w:rsid w:val="009F2000"/>
    <w:rsid w:val="009F2909"/>
    <w:rsid w:val="009F6691"/>
    <w:rsid w:val="00A00BA2"/>
    <w:rsid w:val="00A00CD8"/>
    <w:rsid w:val="00A01CF1"/>
    <w:rsid w:val="00A025AF"/>
    <w:rsid w:val="00A0422A"/>
    <w:rsid w:val="00A05905"/>
    <w:rsid w:val="00A05FC1"/>
    <w:rsid w:val="00A0621E"/>
    <w:rsid w:val="00A06322"/>
    <w:rsid w:val="00A07059"/>
    <w:rsid w:val="00A1370F"/>
    <w:rsid w:val="00A15708"/>
    <w:rsid w:val="00A16354"/>
    <w:rsid w:val="00A167C7"/>
    <w:rsid w:val="00A205E5"/>
    <w:rsid w:val="00A23EF1"/>
    <w:rsid w:val="00A2596B"/>
    <w:rsid w:val="00A26595"/>
    <w:rsid w:val="00A271BF"/>
    <w:rsid w:val="00A30A79"/>
    <w:rsid w:val="00A32734"/>
    <w:rsid w:val="00A32BAD"/>
    <w:rsid w:val="00A36CB2"/>
    <w:rsid w:val="00A42578"/>
    <w:rsid w:val="00A540CB"/>
    <w:rsid w:val="00A54DCA"/>
    <w:rsid w:val="00A60337"/>
    <w:rsid w:val="00A61ABC"/>
    <w:rsid w:val="00A629D8"/>
    <w:rsid w:val="00A70F51"/>
    <w:rsid w:val="00A71F6F"/>
    <w:rsid w:val="00A73AC7"/>
    <w:rsid w:val="00A744B0"/>
    <w:rsid w:val="00A745A0"/>
    <w:rsid w:val="00A74B96"/>
    <w:rsid w:val="00A758A2"/>
    <w:rsid w:val="00A75C20"/>
    <w:rsid w:val="00A77BCF"/>
    <w:rsid w:val="00A80BB4"/>
    <w:rsid w:val="00A80BBE"/>
    <w:rsid w:val="00A81364"/>
    <w:rsid w:val="00A861A0"/>
    <w:rsid w:val="00A872EA"/>
    <w:rsid w:val="00A87C52"/>
    <w:rsid w:val="00A915BD"/>
    <w:rsid w:val="00A91665"/>
    <w:rsid w:val="00A91E6D"/>
    <w:rsid w:val="00A93573"/>
    <w:rsid w:val="00A9618D"/>
    <w:rsid w:val="00A961FE"/>
    <w:rsid w:val="00A96C74"/>
    <w:rsid w:val="00A970D5"/>
    <w:rsid w:val="00AA040C"/>
    <w:rsid w:val="00AA2868"/>
    <w:rsid w:val="00AA45BA"/>
    <w:rsid w:val="00AA569B"/>
    <w:rsid w:val="00AA6D78"/>
    <w:rsid w:val="00AA7851"/>
    <w:rsid w:val="00AB04B4"/>
    <w:rsid w:val="00AB0D1A"/>
    <w:rsid w:val="00AB1162"/>
    <w:rsid w:val="00AB1762"/>
    <w:rsid w:val="00AB1E98"/>
    <w:rsid w:val="00AB48C6"/>
    <w:rsid w:val="00AB7A33"/>
    <w:rsid w:val="00AC2C0E"/>
    <w:rsid w:val="00AC7578"/>
    <w:rsid w:val="00AD4456"/>
    <w:rsid w:val="00AD4CE9"/>
    <w:rsid w:val="00AD538D"/>
    <w:rsid w:val="00AE1973"/>
    <w:rsid w:val="00AE472C"/>
    <w:rsid w:val="00AE5021"/>
    <w:rsid w:val="00AE5386"/>
    <w:rsid w:val="00AE59AB"/>
    <w:rsid w:val="00AE6746"/>
    <w:rsid w:val="00AF0F1B"/>
    <w:rsid w:val="00AF22C6"/>
    <w:rsid w:val="00AF3ABE"/>
    <w:rsid w:val="00AF5A5F"/>
    <w:rsid w:val="00AF6CF7"/>
    <w:rsid w:val="00AF7533"/>
    <w:rsid w:val="00B003E7"/>
    <w:rsid w:val="00B01647"/>
    <w:rsid w:val="00B02A51"/>
    <w:rsid w:val="00B04D87"/>
    <w:rsid w:val="00B131D9"/>
    <w:rsid w:val="00B147B6"/>
    <w:rsid w:val="00B14E9E"/>
    <w:rsid w:val="00B21DD0"/>
    <w:rsid w:val="00B22044"/>
    <w:rsid w:val="00B237B0"/>
    <w:rsid w:val="00B23B28"/>
    <w:rsid w:val="00B23E92"/>
    <w:rsid w:val="00B25FAF"/>
    <w:rsid w:val="00B26BF9"/>
    <w:rsid w:val="00B30402"/>
    <w:rsid w:val="00B30CA4"/>
    <w:rsid w:val="00B30CAF"/>
    <w:rsid w:val="00B31738"/>
    <w:rsid w:val="00B31B65"/>
    <w:rsid w:val="00B34DE4"/>
    <w:rsid w:val="00B35167"/>
    <w:rsid w:val="00B37E5F"/>
    <w:rsid w:val="00B4505F"/>
    <w:rsid w:val="00B454ED"/>
    <w:rsid w:val="00B45617"/>
    <w:rsid w:val="00B46367"/>
    <w:rsid w:val="00B46D1C"/>
    <w:rsid w:val="00B543A9"/>
    <w:rsid w:val="00B545FD"/>
    <w:rsid w:val="00B54B4B"/>
    <w:rsid w:val="00B54EC2"/>
    <w:rsid w:val="00B5503C"/>
    <w:rsid w:val="00B573C8"/>
    <w:rsid w:val="00B60B0B"/>
    <w:rsid w:val="00B6200D"/>
    <w:rsid w:val="00B70C7A"/>
    <w:rsid w:val="00B7381B"/>
    <w:rsid w:val="00B747B6"/>
    <w:rsid w:val="00B75A43"/>
    <w:rsid w:val="00B76244"/>
    <w:rsid w:val="00B7695B"/>
    <w:rsid w:val="00B769BF"/>
    <w:rsid w:val="00B80CDA"/>
    <w:rsid w:val="00B840DB"/>
    <w:rsid w:val="00B85489"/>
    <w:rsid w:val="00B863DA"/>
    <w:rsid w:val="00B90179"/>
    <w:rsid w:val="00B90BF7"/>
    <w:rsid w:val="00B92446"/>
    <w:rsid w:val="00B9284B"/>
    <w:rsid w:val="00BA49E7"/>
    <w:rsid w:val="00BB157A"/>
    <w:rsid w:val="00BB3576"/>
    <w:rsid w:val="00BB54EA"/>
    <w:rsid w:val="00BB77B2"/>
    <w:rsid w:val="00BC19A8"/>
    <w:rsid w:val="00BC765A"/>
    <w:rsid w:val="00BD09AD"/>
    <w:rsid w:val="00BD337A"/>
    <w:rsid w:val="00BD46DF"/>
    <w:rsid w:val="00BD49B3"/>
    <w:rsid w:val="00BD4D6E"/>
    <w:rsid w:val="00BD62F7"/>
    <w:rsid w:val="00BD6318"/>
    <w:rsid w:val="00BD6723"/>
    <w:rsid w:val="00BD698F"/>
    <w:rsid w:val="00BD6A6A"/>
    <w:rsid w:val="00BD7186"/>
    <w:rsid w:val="00BE16E4"/>
    <w:rsid w:val="00BE28DD"/>
    <w:rsid w:val="00BE4ACE"/>
    <w:rsid w:val="00BE5715"/>
    <w:rsid w:val="00BE63CA"/>
    <w:rsid w:val="00BE63CE"/>
    <w:rsid w:val="00BE775F"/>
    <w:rsid w:val="00BF034F"/>
    <w:rsid w:val="00BF1C17"/>
    <w:rsid w:val="00BF28FE"/>
    <w:rsid w:val="00BF50A7"/>
    <w:rsid w:val="00BF7956"/>
    <w:rsid w:val="00C013DA"/>
    <w:rsid w:val="00C02ED9"/>
    <w:rsid w:val="00C047AE"/>
    <w:rsid w:val="00C060DF"/>
    <w:rsid w:val="00C06CEF"/>
    <w:rsid w:val="00C06F00"/>
    <w:rsid w:val="00C100A3"/>
    <w:rsid w:val="00C15122"/>
    <w:rsid w:val="00C15B21"/>
    <w:rsid w:val="00C1778C"/>
    <w:rsid w:val="00C20305"/>
    <w:rsid w:val="00C21CC2"/>
    <w:rsid w:val="00C26631"/>
    <w:rsid w:val="00C33763"/>
    <w:rsid w:val="00C363D8"/>
    <w:rsid w:val="00C37941"/>
    <w:rsid w:val="00C47374"/>
    <w:rsid w:val="00C517E5"/>
    <w:rsid w:val="00C51FEB"/>
    <w:rsid w:val="00C562D7"/>
    <w:rsid w:val="00C56CF2"/>
    <w:rsid w:val="00C62C54"/>
    <w:rsid w:val="00C6407F"/>
    <w:rsid w:val="00C6595C"/>
    <w:rsid w:val="00C6751B"/>
    <w:rsid w:val="00C73D9C"/>
    <w:rsid w:val="00C755F2"/>
    <w:rsid w:val="00C807D7"/>
    <w:rsid w:val="00C8243F"/>
    <w:rsid w:val="00C85919"/>
    <w:rsid w:val="00C91407"/>
    <w:rsid w:val="00C91CA8"/>
    <w:rsid w:val="00C91EF5"/>
    <w:rsid w:val="00C9704E"/>
    <w:rsid w:val="00CA099E"/>
    <w:rsid w:val="00CA0B50"/>
    <w:rsid w:val="00CA2457"/>
    <w:rsid w:val="00CA5B3D"/>
    <w:rsid w:val="00CA75A7"/>
    <w:rsid w:val="00CB25A8"/>
    <w:rsid w:val="00CB4432"/>
    <w:rsid w:val="00CB5078"/>
    <w:rsid w:val="00CC08A3"/>
    <w:rsid w:val="00CC2B86"/>
    <w:rsid w:val="00CC5746"/>
    <w:rsid w:val="00CD0B67"/>
    <w:rsid w:val="00CD4A35"/>
    <w:rsid w:val="00CE02CD"/>
    <w:rsid w:val="00CE0DF5"/>
    <w:rsid w:val="00CE2908"/>
    <w:rsid w:val="00CE2B42"/>
    <w:rsid w:val="00CF0DB5"/>
    <w:rsid w:val="00CF679F"/>
    <w:rsid w:val="00D01A39"/>
    <w:rsid w:val="00D0226C"/>
    <w:rsid w:val="00D04E19"/>
    <w:rsid w:val="00D05552"/>
    <w:rsid w:val="00D055CC"/>
    <w:rsid w:val="00D11321"/>
    <w:rsid w:val="00D11DD7"/>
    <w:rsid w:val="00D14911"/>
    <w:rsid w:val="00D20E3F"/>
    <w:rsid w:val="00D220F9"/>
    <w:rsid w:val="00D22167"/>
    <w:rsid w:val="00D22CBA"/>
    <w:rsid w:val="00D26C69"/>
    <w:rsid w:val="00D26DA8"/>
    <w:rsid w:val="00D319AE"/>
    <w:rsid w:val="00D33D98"/>
    <w:rsid w:val="00D345FE"/>
    <w:rsid w:val="00D35FB2"/>
    <w:rsid w:val="00D42879"/>
    <w:rsid w:val="00D43298"/>
    <w:rsid w:val="00D51898"/>
    <w:rsid w:val="00D52194"/>
    <w:rsid w:val="00D53B27"/>
    <w:rsid w:val="00D60196"/>
    <w:rsid w:val="00D63F64"/>
    <w:rsid w:val="00D66A6D"/>
    <w:rsid w:val="00D702BE"/>
    <w:rsid w:val="00D72BFF"/>
    <w:rsid w:val="00D72C43"/>
    <w:rsid w:val="00D776F0"/>
    <w:rsid w:val="00D77DA5"/>
    <w:rsid w:val="00D82668"/>
    <w:rsid w:val="00D855A2"/>
    <w:rsid w:val="00D86F83"/>
    <w:rsid w:val="00D87DE4"/>
    <w:rsid w:val="00DA1BC0"/>
    <w:rsid w:val="00DA227F"/>
    <w:rsid w:val="00DA261B"/>
    <w:rsid w:val="00DA2DE8"/>
    <w:rsid w:val="00DA6A52"/>
    <w:rsid w:val="00DA75EF"/>
    <w:rsid w:val="00DB2827"/>
    <w:rsid w:val="00DB675F"/>
    <w:rsid w:val="00DB7B40"/>
    <w:rsid w:val="00DC49C3"/>
    <w:rsid w:val="00DC6087"/>
    <w:rsid w:val="00DC66B2"/>
    <w:rsid w:val="00DC67D4"/>
    <w:rsid w:val="00DD2D59"/>
    <w:rsid w:val="00DD3FE1"/>
    <w:rsid w:val="00DD4770"/>
    <w:rsid w:val="00DD5C27"/>
    <w:rsid w:val="00DD72F3"/>
    <w:rsid w:val="00DD79F9"/>
    <w:rsid w:val="00DD7BC5"/>
    <w:rsid w:val="00DE01D7"/>
    <w:rsid w:val="00DE2B15"/>
    <w:rsid w:val="00DE6FF8"/>
    <w:rsid w:val="00DF06E4"/>
    <w:rsid w:val="00DF2F3B"/>
    <w:rsid w:val="00DF3BEB"/>
    <w:rsid w:val="00DF5153"/>
    <w:rsid w:val="00E01DC5"/>
    <w:rsid w:val="00E02272"/>
    <w:rsid w:val="00E0322D"/>
    <w:rsid w:val="00E033A5"/>
    <w:rsid w:val="00E03D84"/>
    <w:rsid w:val="00E1061C"/>
    <w:rsid w:val="00E12F0E"/>
    <w:rsid w:val="00E13AB4"/>
    <w:rsid w:val="00E1463A"/>
    <w:rsid w:val="00E208BE"/>
    <w:rsid w:val="00E24158"/>
    <w:rsid w:val="00E259DA"/>
    <w:rsid w:val="00E27E58"/>
    <w:rsid w:val="00E3116F"/>
    <w:rsid w:val="00E321D8"/>
    <w:rsid w:val="00E322CC"/>
    <w:rsid w:val="00E32615"/>
    <w:rsid w:val="00E343F1"/>
    <w:rsid w:val="00E34DE6"/>
    <w:rsid w:val="00E3518A"/>
    <w:rsid w:val="00E40467"/>
    <w:rsid w:val="00E43AAE"/>
    <w:rsid w:val="00E47511"/>
    <w:rsid w:val="00E47EBC"/>
    <w:rsid w:val="00E522BE"/>
    <w:rsid w:val="00E54121"/>
    <w:rsid w:val="00E55E16"/>
    <w:rsid w:val="00E617DE"/>
    <w:rsid w:val="00E63291"/>
    <w:rsid w:val="00E635A6"/>
    <w:rsid w:val="00E662AB"/>
    <w:rsid w:val="00E701BE"/>
    <w:rsid w:val="00E7581C"/>
    <w:rsid w:val="00E75DC9"/>
    <w:rsid w:val="00E7604D"/>
    <w:rsid w:val="00E76297"/>
    <w:rsid w:val="00E76D4E"/>
    <w:rsid w:val="00E77912"/>
    <w:rsid w:val="00E81562"/>
    <w:rsid w:val="00E8206D"/>
    <w:rsid w:val="00E82962"/>
    <w:rsid w:val="00E84698"/>
    <w:rsid w:val="00E91EC0"/>
    <w:rsid w:val="00E9607A"/>
    <w:rsid w:val="00E96608"/>
    <w:rsid w:val="00EA37F2"/>
    <w:rsid w:val="00EA3E32"/>
    <w:rsid w:val="00EA5DE0"/>
    <w:rsid w:val="00EA67B7"/>
    <w:rsid w:val="00EA67EB"/>
    <w:rsid w:val="00EA7D25"/>
    <w:rsid w:val="00EB1D6A"/>
    <w:rsid w:val="00EB504A"/>
    <w:rsid w:val="00EB53E3"/>
    <w:rsid w:val="00EB54FE"/>
    <w:rsid w:val="00EB7F39"/>
    <w:rsid w:val="00EC088B"/>
    <w:rsid w:val="00EC1331"/>
    <w:rsid w:val="00EC1B09"/>
    <w:rsid w:val="00EC1E98"/>
    <w:rsid w:val="00EC25C3"/>
    <w:rsid w:val="00EC2B59"/>
    <w:rsid w:val="00EC4A30"/>
    <w:rsid w:val="00EC62FB"/>
    <w:rsid w:val="00EC7AE0"/>
    <w:rsid w:val="00ED00FB"/>
    <w:rsid w:val="00ED131A"/>
    <w:rsid w:val="00ED1C74"/>
    <w:rsid w:val="00ED2B28"/>
    <w:rsid w:val="00ED3D9D"/>
    <w:rsid w:val="00ED4CEA"/>
    <w:rsid w:val="00ED530A"/>
    <w:rsid w:val="00ED586E"/>
    <w:rsid w:val="00ED6A4A"/>
    <w:rsid w:val="00ED75A9"/>
    <w:rsid w:val="00EE0EF1"/>
    <w:rsid w:val="00EE31D3"/>
    <w:rsid w:val="00EE72A5"/>
    <w:rsid w:val="00EF0F1E"/>
    <w:rsid w:val="00EF1547"/>
    <w:rsid w:val="00EF32E8"/>
    <w:rsid w:val="00EF5AD9"/>
    <w:rsid w:val="00EF605B"/>
    <w:rsid w:val="00EF62D5"/>
    <w:rsid w:val="00EF6528"/>
    <w:rsid w:val="00EF6EE7"/>
    <w:rsid w:val="00EF7F56"/>
    <w:rsid w:val="00F01661"/>
    <w:rsid w:val="00F0298D"/>
    <w:rsid w:val="00F049C1"/>
    <w:rsid w:val="00F0690D"/>
    <w:rsid w:val="00F07C58"/>
    <w:rsid w:val="00F07CC5"/>
    <w:rsid w:val="00F114B1"/>
    <w:rsid w:val="00F12388"/>
    <w:rsid w:val="00F1375B"/>
    <w:rsid w:val="00F17891"/>
    <w:rsid w:val="00F242A3"/>
    <w:rsid w:val="00F24D27"/>
    <w:rsid w:val="00F26392"/>
    <w:rsid w:val="00F2694F"/>
    <w:rsid w:val="00F26B1E"/>
    <w:rsid w:val="00F326CA"/>
    <w:rsid w:val="00F331D7"/>
    <w:rsid w:val="00F33393"/>
    <w:rsid w:val="00F3385A"/>
    <w:rsid w:val="00F33BDE"/>
    <w:rsid w:val="00F37029"/>
    <w:rsid w:val="00F371E4"/>
    <w:rsid w:val="00F37A89"/>
    <w:rsid w:val="00F4097D"/>
    <w:rsid w:val="00F43023"/>
    <w:rsid w:val="00F43AC3"/>
    <w:rsid w:val="00F44BF5"/>
    <w:rsid w:val="00F453DF"/>
    <w:rsid w:val="00F55201"/>
    <w:rsid w:val="00F555D1"/>
    <w:rsid w:val="00F566D8"/>
    <w:rsid w:val="00F57810"/>
    <w:rsid w:val="00F60ACF"/>
    <w:rsid w:val="00F612E3"/>
    <w:rsid w:val="00F629A7"/>
    <w:rsid w:val="00F67A41"/>
    <w:rsid w:val="00F707F9"/>
    <w:rsid w:val="00F73A06"/>
    <w:rsid w:val="00F73B52"/>
    <w:rsid w:val="00F74568"/>
    <w:rsid w:val="00F758C6"/>
    <w:rsid w:val="00F7744E"/>
    <w:rsid w:val="00F80128"/>
    <w:rsid w:val="00F817A9"/>
    <w:rsid w:val="00F81B0C"/>
    <w:rsid w:val="00F829EB"/>
    <w:rsid w:val="00F84B3C"/>
    <w:rsid w:val="00F85161"/>
    <w:rsid w:val="00F85B81"/>
    <w:rsid w:val="00F91B4C"/>
    <w:rsid w:val="00F9286F"/>
    <w:rsid w:val="00F94722"/>
    <w:rsid w:val="00F94E08"/>
    <w:rsid w:val="00FA33BC"/>
    <w:rsid w:val="00FA436D"/>
    <w:rsid w:val="00FA4E4C"/>
    <w:rsid w:val="00FA50B7"/>
    <w:rsid w:val="00FA51D1"/>
    <w:rsid w:val="00FA6A4D"/>
    <w:rsid w:val="00FB27AF"/>
    <w:rsid w:val="00FB2B96"/>
    <w:rsid w:val="00FB4774"/>
    <w:rsid w:val="00FB64A5"/>
    <w:rsid w:val="00FB6A2C"/>
    <w:rsid w:val="00FC2093"/>
    <w:rsid w:val="00FD1563"/>
    <w:rsid w:val="00FD6293"/>
    <w:rsid w:val="00FE0D88"/>
    <w:rsid w:val="00FE0FD3"/>
    <w:rsid w:val="00FE27BE"/>
    <w:rsid w:val="00FE7033"/>
    <w:rsid w:val="00FF0BF7"/>
    <w:rsid w:val="00FF5F01"/>
    <w:rsid w:val="00FF6D9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69F0B"/>
  <w15:docId w15:val="{8BF217A9-D780-479B-B622-1417326C3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7339"/>
    <w:rPr>
      <w:rFonts w:ascii="Times New Roman" w:hAnsi="Times New Roman"/>
      <w:sz w:val="24"/>
      <w:szCs w:val="22"/>
      <w:lang w:eastAsia="en-US"/>
    </w:rPr>
  </w:style>
  <w:style w:type="paragraph" w:styleId="Heading1">
    <w:name w:val="heading 1"/>
    <w:aliases w:val="Heading 1m"/>
    <w:basedOn w:val="Normal"/>
    <w:next w:val="Normal"/>
    <w:link w:val="Heading1Char"/>
    <w:qFormat/>
    <w:rsid w:val="004D59CB"/>
    <w:pPr>
      <w:keepNext/>
      <w:spacing w:after="60" w:line="360" w:lineRule="auto"/>
      <w:ind w:left="255" w:hanging="255"/>
      <w:outlineLvl w:val="0"/>
    </w:pPr>
    <w:rPr>
      <w:rFonts w:eastAsia="Times New Roman" w:cs="Times New Roman"/>
      <w:b/>
      <w:bCs/>
      <w:caps/>
      <w:color w:val="0000CC"/>
      <w:kern w:val="32"/>
      <w:sz w:val="30"/>
      <w:szCs w:val="32"/>
      <w:lang w:val="el-GR"/>
    </w:rPr>
  </w:style>
  <w:style w:type="paragraph" w:styleId="Heading2">
    <w:name w:val="heading 2"/>
    <w:basedOn w:val="Normal"/>
    <w:next w:val="Normal"/>
    <w:link w:val="Heading2Char"/>
    <w:uiPriority w:val="9"/>
    <w:qFormat/>
    <w:rsid w:val="005B49E6"/>
    <w:pPr>
      <w:keepNext/>
      <w:spacing w:before="400" w:after="100"/>
      <w:ind w:left="425" w:hanging="425"/>
      <w:outlineLvl w:val="1"/>
    </w:pPr>
    <w:rPr>
      <w:rFonts w:eastAsia="Times New Roman" w:cs="Times New Roman"/>
      <w:b/>
      <w:bCs/>
      <w:iCs/>
      <w:sz w:val="28"/>
      <w:szCs w:val="28"/>
    </w:rPr>
  </w:style>
  <w:style w:type="paragraph" w:styleId="Heading3">
    <w:name w:val="heading 3"/>
    <w:aliases w:val="Heading 3m"/>
    <w:basedOn w:val="Normal"/>
    <w:next w:val="Normal"/>
    <w:link w:val="Heading3Char"/>
    <w:qFormat/>
    <w:rsid w:val="00066054"/>
    <w:pPr>
      <w:spacing w:before="300" w:after="100"/>
      <w:ind w:left="720" w:hanging="720"/>
      <w:outlineLvl w:val="2"/>
    </w:pPr>
    <w:rPr>
      <w:rFonts w:eastAsia="Times New Roman" w:cs="Times New Roman"/>
      <w:b/>
      <w:sz w:val="26"/>
      <w:szCs w:val="26"/>
    </w:rPr>
  </w:style>
  <w:style w:type="paragraph" w:styleId="Heading4">
    <w:name w:val="heading 4"/>
    <w:basedOn w:val="Normal"/>
    <w:next w:val="Normal"/>
    <w:link w:val="Heading4Char"/>
    <w:uiPriority w:val="9"/>
    <w:unhideWhenUsed/>
    <w:qFormat/>
    <w:rsid w:val="00066054"/>
    <w:pPr>
      <w:keepNext/>
      <w:keepLines/>
      <w:spacing w:before="300" w:after="100"/>
      <w:outlineLvl w:val="3"/>
    </w:pPr>
    <w:rPr>
      <w:rFonts w:eastAsia="Cambria" w:cs="Times New Roman"/>
      <w:b/>
      <w:iCs/>
    </w:rPr>
  </w:style>
  <w:style w:type="paragraph" w:styleId="Heading5">
    <w:name w:val="heading 5"/>
    <w:basedOn w:val="Normal"/>
    <w:next w:val="Normal"/>
    <w:link w:val="Heading5Char"/>
    <w:uiPriority w:val="9"/>
    <w:unhideWhenUsed/>
    <w:qFormat/>
    <w:rsid w:val="00A91E6D"/>
    <w:pPr>
      <w:keepNext/>
      <w:keepLines/>
      <w:spacing w:before="320" w:after="100"/>
      <w:outlineLvl w:val="4"/>
    </w:pPr>
    <w:rPr>
      <w:rFonts w:eastAsia="Cambria" w:cs="Times New Roman"/>
      <w:b/>
    </w:rPr>
  </w:style>
  <w:style w:type="paragraph" w:styleId="Heading6">
    <w:name w:val="heading 6"/>
    <w:basedOn w:val="Normal"/>
    <w:next w:val="Normal"/>
    <w:link w:val="Heading6Char"/>
    <w:uiPriority w:val="9"/>
    <w:unhideWhenUsed/>
    <w:qFormat/>
    <w:rsid w:val="0052714A"/>
    <w:pPr>
      <w:keepNext/>
      <w:keepLines/>
      <w:spacing w:before="240" w:after="60"/>
      <w:outlineLvl w:val="5"/>
    </w:pPr>
    <w:rPr>
      <w:rFonts w:eastAsia="Cambria"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m Char"/>
    <w:link w:val="Heading1"/>
    <w:rsid w:val="004D59CB"/>
    <w:rPr>
      <w:rFonts w:ascii="Times New Roman" w:eastAsia="Times New Roman" w:hAnsi="Times New Roman" w:cs="Times New Roman"/>
      <w:b/>
      <w:bCs/>
      <w:caps/>
      <w:color w:val="0000CC"/>
      <w:kern w:val="32"/>
      <w:sz w:val="30"/>
      <w:szCs w:val="32"/>
      <w:lang w:val="el-GR" w:eastAsia="en-US"/>
    </w:rPr>
  </w:style>
  <w:style w:type="character" w:customStyle="1" w:styleId="Heading2Char">
    <w:name w:val="Heading 2 Char"/>
    <w:link w:val="Heading2"/>
    <w:uiPriority w:val="9"/>
    <w:rsid w:val="005B49E6"/>
    <w:rPr>
      <w:rFonts w:ascii="Times New Roman" w:eastAsia="Times New Roman" w:hAnsi="Times New Roman" w:cs="Times New Roman"/>
      <w:b/>
      <w:bCs/>
      <w:iCs/>
      <w:sz w:val="28"/>
      <w:szCs w:val="28"/>
    </w:rPr>
  </w:style>
  <w:style w:type="character" w:customStyle="1" w:styleId="Heading3Char">
    <w:name w:val="Heading 3 Char"/>
    <w:aliases w:val="Heading 3m Char"/>
    <w:link w:val="Heading3"/>
    <w:rsid w:val="00066054"/>
    <w:rPr>
      <w:rFonts w:ascii="Times New Roman" w:eastAsia="Times New Roman" w:hAnsi="Times New Roman" w:cs="Times New Roman"/>
      <w:b/>
      <w:sz w:val="26"/>
      <w:szCs w:val="26"/>
    </w:rPr>
  </w:style>
  <w:style w:type="character" w:customStyle="1" w:styleId="Heading4Char">
    <w:name w:val="Heading 4 Char"/>
    <w:link w:val="Heading4"/>
    <w:uiPriority w:val="9"/>
    <w:rsid w:val="00066054"/>
    <w:rPr>
      <w:rFonts w:ascii="Times New Roman" w:eastAsia="Cambria" w:hAnsi="Times New Roman" w:cs="Times New Roman"/>
      <w:b/>
      <w:iCs/>
      <w:sz w:val="24"/>
    </w:rPr>
  </w:style>
  <w:style w:type="character" w:customStyle="1" w:styleId="Heading5Char">
    <w:name w:val="Heading 5 Char"/>
    <w:link w:val="Heading5"/>
    <w:uiPriority w:val="9"/>
    <w:rsid w:val="00A91E6D"/>
    <w:rPr>
      <w:rFonts w:ascii="Times New Roman" w:eastAsia="Cambria" w:hAnsi="Times New Roman" w:cs="Times New Roman"/>
      <w:b/>
      <w:sz w:val="24"/>
    </w:rPr>
  </w:style>
  <w:style w:type="character" w:customStyle="1" w:styleId="Heading6Char">
    <w:name w:val="Heading 6 Char"/>
    <w:link w:val="Heading6"/>
    <w:uiPriority w:val="9"/>
    <w:rsid w:val="0052714A"/>
    <w:rPr>
      <w:rFonts w:ascii="Times New Roman" w:eastAsia="Cambria" w:hAnsi="Times New Roman" w:cs="Times New Roman"/>
      <w:b/>
      <w:bCs/>
      <w:sz w:val="24"/>
    </w:rPr>
  </w:style>
  <w:style w:type="paragraph" w:styleId="ListParagraph">
    <w:name w:val="List Paragraph"/>
    <w:basedOn w:val="Normal"/>
    <w:uiPriority w:val="34"/>
    <w:qFormat/>
    <w:rsid w:val="00FA50B7"/>
    <w:pPr>
      <w:ind w:left="720"/>
      <w:contextualSpacing/>
    </w:pPr>
  </w:style>
  <w:style w:type="paragraph" w:styleId="FootnoteText">
    <w:name w:val="footnote text"/>
    <w:basedOn w:val="Normal"/>
    <w:link w:val="FootnoteTextChar"/>
    <w:uiPriority w:val="99"/>
    <w:semiHidden/>
    <w:unhideWhenUsed/>
    <w:rsid w:val="00844263"/>
    <w:rPr>
      <w:sz w:val="20"/>
      <w:szCs w:val="20"/>
    </w:rPr>
  </w:style>
  <w:style w:type="character" w:customStyle="1" w:styleId="FootnoteTextChar">
    <w:name w:val="Footnote Text Char"/>
    <w:link w:val="FootnoteText"/>
    <w:uiPriority w:val="99"/>
    <w:semiHidden/>
    <w:rsid w:val="00844263"/>
    <w:rPr>
      <w:sz w:val="20"/>
      <w:szCs w:val="20"/>
    </w:rPr>
  </w:style>
  <w:style w:type="character" w:styleId="FootnoteReference">
    <w:name w:val="footnote reference"/>
    <w:uiPriority w:val="99"/>
    <w:semiHidden/>
    <w:unhideWhenUsed/>
    <w:rsid w:val="00844263"/>
    <w:rPr>
      <w:vertAlign w:val="superscript"/>
    </w:rPr>
  </w:style>
  <w:style w:type="table" w:styleId="TableGrid">
    <w:name w:val="Table Grid"/>
    <w:basedOn w:val="TableNormal"/>
    <w:uiPriority w:val="39"/>
    <w:rsid w:val="00C807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7044D"/>
    <w:rPr>
      <w:color w:val="0000FF"/>
      <w:u w:val="single"/>
    </w:rPr>
  </w:style>
  <w:style w:type="character" w:customStyle="1" w:styleId="UnresolvedMention1">
    <w:name w:val="Unresolved Mention1"/>
    <w:uiPriority w:val="99"/>
    <w:semiHidden/>
    <w:unhideWhenUsed/>
    <w:rsid w:val="0047044D"/>
    <w:rPr>
      <w:color w:val="605E5C"/>
      <w:shd w:val="clear" w:color="auto" w:fill="E1DFDD"/>
    </w:rPr>
  </w:style>
  <w:style w:type="paragraph" w:styleId="BodyText">
    <w:name w:val="Body Text"/>
    <w:aliases w:val="Body Text 1"/>
    <w:basedOn w:val="Normal"/>
    <w:link w:val="BodyTextChar"/>
    <w:unhideWhenUsed/>
    <w:qFormat/>
    <w:rsid w:val="007118C0"/>
    <w:rPr>
      <w:rFonts w:cs="Times New Roman"/>
      <w:szCs w:val="24"/>
    </w:rPr>
  </w:style>
  <w:style w:type="character" w:customStyle="1" w:styleId="BodyTextChar">
    <w:name w:val="Body Text Char"/>
    <w:aliases w:val="Body Text 1 Char"/>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Calibri" w:hAnsi="Calibri" w:cs="Arial"/>
      <w:sz w:val="22"/>
      <w:szCs w:val="22"/>
    </w:rPr>
  </w:style>
  <w:style w:type="character" w:customStyle="1" w:styleId="BodyTextFirstIndentChar">
    <w:name w:val="Body Text First Indent Char"/>
    <w:link w:val="BodyTextFirstIndent"/>
    <w:uiPriority w:val="99"/>
    <w:semiHidden/>
    <w:rsid w:val="00213018"/>
    <w:rPr>
      <w:rFonts w:ascii="Times New Roman" w:eastAsia="Calibri" w:hAnsi="Times New Roman" w:cs="Times New Roman"/>
      <w:sz w:val="24"/>
      <w:szCs w:val="24"/>
    </w:rPr>
  </w:style>
  <w:style w:type="paragraph" w:styleId="Caption">
    <w:name w:val="caption"/>
    <w:aliases w:val="Figure caption"/>
    <w:basedOn w:val="Normal"/>
    <w:next w:val="Normal"/>
    <w:qFormat/>
    <w:rsid w:val="00035316"/>
    <w:pPr>
      <w:spacing w:before="100" w:after="400"/>
    </w:pPr>
    <w:rPr>
      <w:rFonts w:eastAsia="Times New Roman" w:cs="Times New Roman"/>
      <w:bCs/>
      <w:i/>
      <w:sz w:val="20"/>
      <w:szCs w:val="20"/>
    </w:rPr>
  </w:style>
  <w:style w:type="paragraph" w:styleId="Header">
    <w:name w:val="header"/>
    <w:basedOn w:val="Normal"/>
    <w:link w:val="HeaderChar"/>
    <w:uiPriority w:val="99"/>
    <w:unhideWhenUsed/>
    <w:rsid w:val="00EC2B59"/>
    <w:pPr>
      <w:tabs>
        <w:tab w:val="center" w:pos="4153"/>
        <w:tab w:val="right" w:pos="8306"/>
      </w:tabs>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pPr>
  </w:style>
  <w:style w:type="character" w:customStyle="1" w:styleId="FooterChar">
    <w:name w:val="Footer Char"/>
    <w:basedOn w:val="DefaultParagraphFont"/>
    <w:link w:val="Footer"/>
    <w:uiPriority w:val="99"/>
    <w:rsid w:val="00EC2B59"/>
  </w:style>
  <w:style w:type="paragraph" w:styleId="BalloonText">
    <w:name w:val="Balloon Text"/>
    <w:basedOn w:val="Normal"/>
    <w:link w:val="BalloonTextChar"/>
    <w:uiPriority w:val="99"/>
    <w:semiHidden/>
    <w:unhideWhenUsed/>
    <w:rsid w:val="00A61ABC"/>
    <w:rPr>
      <w:rFonts w:ascii="Segoe UI" w:hAnsi="Segoe UI" w:cs="Segoe UI"/>
      <w:sz w:val="18"/>
      <w:szCs w:val="18"/>
    </w:rPr>
  </w:style>
  <w:style w:type="character" w:customStyle="1" w:styleId="BalloonTextChar">
    <w:name w:val="Balloon Text Char"/>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5B3765"/>
    <w:pPr>
      <w:ind w:left="425" w:hanging="425"/>
    </w:pPr>
  </w:style>
  <w:style w:type="character" w:customStyle="1" w:styleId="ReferencesChar">
    <w:name w:val="References Char"/>
    <w:link w:val="References"/>
    <w:rsid w:val="005B3765"/>
    <w:rPr>
      <w:rFonts w:ascii="Times New Roman" w:hAnsi="Times New Roman"/>
    </w:rPr>
  </w:style>
  <w:style w:type="character" w:styleId="CommentReference">
    <w:name w:val="annotation reference"/>
    <w:uiPriority w:val="99"/>
    <w:semiHidden/>
    <w:unhideWhenUsed/>
    <w:rsid w:val="00BD46DF"/>
    <w:rPr>
      <w:sz w:val="16"/>
      <w:szCs w:val="16"/>
    </w:rPr>
  </w:style>
  <w:style w:type="paragraph" w:styleId="CommentText">
    <w:name w:val="annotation text"/>
    <w:basedOn w:val="Normal"/>
    <w:link w:val="CommentTextChar"/>
    <w:uiPriority w:val="99"/>
    <w:unhideWhenUsed/>
    <w:rsid w:val="00BD46DF"/>
    <w:rPr>
      <w:sz w:val="20"/>
      <w:szCs w:val="20"/>
    </w:rPr>
  </w:style>
  <w:style w:type="character" w:customStyle="1" w:styleId="CommentTextChar">
    <w:name w:val="Comment Text Char"/>
    <w:link w:val="CommentText"/>
    <w:uiPriority w:val="99"/>
    <w:rsid w:val="00BD46DF"/>
    <w:rPr>
      <w:sz w:val="20"/>
      <w:szCs w:val="20"/>
    </w:rPr>
  </w:style>
  <w:style w:type="paragraph" w:styleId="CommentSubject">
    <w:name w:val="annotation subject"/>
    <w:basedOn w:val="CommentText"/>
    <w:next w:val="CommentText"/>
    <w:link w:val="CommentSubjectChar"/>
    <w:uiPriority w:val="99"/>
    <w:semiHidden/>
    <w:unhideWhenUsed/>
    <w:rsid w:val="00BD46DF"/>
    <w:rPr>
      <w:b/>
      <w:bCs/>
    </w:rPr>
  </w:style>
  <w:style w:type="character" w:customStyle="1" w:styleId="CommentSubjectChar">
    <w:name w:val="Comment Subject Char"/>
    <w:link w:val="CommentSubject"/>
    <w:uiPriority w:val="99"/>
    <w:semiHidden/>
    <w:rsid w:val="00BD46DF"/>
    <w:rPr>
      <w:b/>
      <w:bCs/>
      <w:sz w:val="20"/>
      <w:szCs w:val="20"/>
    </w:rPr>
  </w:style>
  <w:style w:type="paragraph" w:customStyle="1" w:styleId="Default">
    <w:name w:val="Default"/>
    <w:link w:val="DefaultChar"/>
    <w:rsid w:val="00B545FD"/>
    <w:pPr>
      <w:widowControl w:val="0"/>
      <w:autoSpaceDE w:val="0"/>
      <w:autoSpaceDN w:val="0"/>
      <w:adjustRightInd w:val="0"/>
    </w:pPr>
    <w:rPr>
      <w:rFonts w:ascii="Times New Roman" w:hAnsi="Times New Roman" w:cs="Times New Roman"/>
      <w:color w:val="000000"/>
      <w:sz w:val="24"/>
      <w:szCs w:val="24"/>
    </w:rPr>
  </w:style>
  <w:style w:type="character" w:customStyle="1" w:styleId="DefaultChar">
    <w:name w:val="Default Char"/>
    <w:link w:val="Default"/>
    <w:rsid w:val="00C6751B"/>
    <w:rPr>
      <w:rFonts w:ascii="Times New Roman" w:eastAsia="Calibri" w:hAnsi="Times New Roman" w:cs="Times New Roman"/>
      <w:color w:val="000000"/>
      <w:sz w:val="24"/>
      <w:szCs w:val="24"/>
      <w:lang w:eastAsia="en-GB"/>
    </w:rPr>
  </w:style>
  <w:style w:type="paragraph" w:customStyle="1" w:styleId="CM1">
    <w:name w:val="CM1"/>
    <w:basedOn w:val="Default"/>
    <w:next w:val="Default"/>
    <w:link w:val="CM1Char"/>
    <w:uiPriority w:val="99"/>
    <w:rsid w:val="00B545FD"/>
    <w:rPr>
      <w:color w:val="auto"/>
    </w:rPr>
  </w:style>
  <w:style w:type="character" w:customStyle="1" w:styleId="CM1Char">
    <w:name w:val="CM1 Char"/>
    <w:link w:val="CM1"/>
    <w:uiPriority w:val="99"/>
    <w:rsid w:val="00C6751B"/>
    <w:rPr>
      <w:rFonts w:ascii="Times New Roman" w:eastAsia="Calibri" w:hAnsi="Times New Roman" w:cs="Times New Roman"/>
      <w:color w:val="000000"/>
      <w:sz w:val="24"/>
      <w:szCs w:val="24"/>
      <w:lang w:eastAsia="en-GB"/>
    </w:rPr>
  </w:style>
  <w:style w:type="paragraph" w:customStyle="1" w:styleId="CM8">
    <w:name w:val="CM8"/>
    <w:basedOn w:val="Default"/>
    <w:next w:val="Default"/>
    <w:uiPriority w:val="99"/>
    <w:rsid w:val="00035316"/>
    <w:rPr>
      <w:color w:val="auto"/>
    </w:rPr>
  </w:style>
  <w:style w:type="paragraph" w:customStyle="1" w:styleId="CM9">
    <w:name w:val="CM9"/>
    <w:basedOn w:val="Default"/>
    <w:next w:val="Default"/>
    <w:uiPriority w:val="99"/>
    <w:rsid w:val="00035316"/>
    <w:rPr>
      <w:color w:val="auto"/>
    </w:rPr>
  </w:style>
  <w:style w:type="paragraph" w:customStyle="1" w:styleId="CM2">
    <w:name w:val="CM2"/>
    <w:basedOn w:val="Default"/>
    <w:next w:val="Default"/>
    <w:uiPriority w:val="99"/>
    <w:rsid w:val="00035316"/>
    <w:pPr>
      <w:spacing w:line="220" w:lineRule="atLeast"/>
    </w:pPr>
    <w:rPr>
      <w:color w:val="auto"/>
    </w:rPr>
  </w:style>
  <w:style w:type="paragraph" w:customStyle="1" w:styleId="CM10">
    <w:name w:val="CM10"/>
    <w:basedOn w:val="Default"/>
    <w:next w:val="Default"/>
    <w:uiPriority w:val="99"/>
    <w:rsid w:val="00035316"/>
    <w:rPr>
      <w:color w:val="auto"/>
    </w:rPr>
  </w:style>
  <w:style w:type="paragraph" w:customStyle="1" w:styleId="CM11">
    <w:name w:val="CM11"/>
    <w:basedOn w:val="Default"/>
    <w:next w:val="Default"/>
    <w:uiPriority w:val="99"/>
    <w:rsid w:val="00035316"/>
    <w:rPr>
      <w:color w:val="auto"/>
    </w:rPr>
  </w:style>
  <w:style w:type="paragraph" w:customStyle="1" w:styleId="CM12">
    <w:name w:val="CM12"/>
    <w:basedOn w:val="Default"/>
    <w:next w:val="Default"/>
    <w:uiPriority w:val="99"/>
    <w:rsid w:val="00035316"/>
    <w:rPr>
      <w:color w:val="auto"/>
    </w:rPr>
  </w:style>
  <w:style w:type="paragraph" w:customStyle="1" w:styleId="CM13">
    <w:name w:val="CM13"/>
    <w:basedOn w:val="Default"/>
    <w:next w:val="Default"/>
    <w:uiPriority w:val="99"/>
    <w:rsid w:val="00035316"/>
    <w:rPr>
      <w:color w:val="auto"/>
    </w:rPr>
  </w:style>
  <w:style w:type="paragraph" w:customStyle="1" w:styleId="CM3">
    <w:name w:val="CM3"/>
    <w:basedOn w:val="Default"/>
    <w:next w:val="Default"/>
    <w:uiPriority w:val="99"/>
    <w:rsid w:val="00035316"/>
    <w:rPr>
      <w:color w:val="auto"/>
    </w:rPr>
  </w:style>
  <w:style w:type="paragraph" w:customStyle="1" w:styleId="CM14">
    <w:name w:val="CM14"/>
    <w:basedOn w:val="Default"/>
    <w:next w:val="Default"/>
    <w:uiPriority w:val="99"/>
    <w:rsid w:val="00035316"/>
    <w:rPr>
      <w:color w:val="auto"/>
    </w:rPr>
  </w:style>
  <w:style w:type="paragraph" w:customStyle="1" w:styleId="CM4">
    <w:name w:val="CM4"/>
    <w:basedOn w:val="Default"/>
    <w:next w:val="Default"/>
    <w:uiPriority w:val="99"/>
    <w:rsid w:val="00035316"/>
    <w:pPr>
      <w:spacing w:line="268" w:lineRule="atLeast"/>
    </w:pPr>
    <w:rPr>
      <w:color w:val="auto"/>
    </w:rPr>
  </w:style>
  <w:style w:type="paragraph" w:customStyle="1" w:styleId="CM6">
    <w:name w:val="CM6"/>
    <w:basedOn w:val="Default"/>
    <w:next w:val="Default"/>
    <w:uiPriority w:val="99"/>
    <w:rsid w:val="00035316"/>
    <w:pPr>
      <w:spacing w:line="220" w:lineRule="atLeast"/>
    </w:pPr>
    <w:rPr>
      <w:color w:val="auto"/>
    </w:rPr>
  </w:style>
  <w:style w:type="paragraph" w:customStyle="1" w:styleId="CM15">
    <w:name w:val="CM15"/>
    <w:basedOn w:val="Default"/>
    <w:next w:val="Default"/>
    <w:uiPriority w:val="99"/>
    <w:rsid w:val="00035316"/>
    <w:rPr>
      <w:color w:val="auto"/>
    </w:rPr>
  </w:style>
  <w:style w:type="paragraph" w:customStyle="1" w:styleId="CM16">
    <w:name w:val="CM16"/>
    <w:basedOn w:val="Default"/>
    <w:next w:val="Default"/>
    <w:uiPriority w:val="99"/>
    <w:rsid w:val="00035316"/>
    <w:rPr>
      <w:color w:val="auto"/>
    </w:rPr>
  </w:style>
  <w:style w:type="paragraph" w:customStyle="1" w:styleId="CM5">
    <w:name w:val="CM5"/>
    <w:basedOn w:val="Default"/>
    <w:next w:val="Default"/>
    <w:uiPriority w:val="99"/>
    <w:rsid w:val="00035316"/>
    <w:pPr>
      <w:spacing w:line="220" w:lineRule="atLeast"/>
    </w:pPr>
    <w:rPr>
      <w:color w:val="auto"/>
    </w:rPr>
  </w:style>
  <w:style w:type="paragraph" w:customStyle="1" w:styleId="msonormal0">
    <w:name w:val="msonormal"/>
    <w:basedOn w:val="Normal"/>
    <w:rsid w:val="00035316"/>
    <w:pPr>
      <w:spacing w:before="100" w:beforeAutospacing="1" w:after="100" w:afterAutospacing="1"/>
    </w:pPr>
    <w:rPr>
      <w:rFonts w:eastAsia="Times New Roman" w:cs="Times New Roman"/>
      <w:szCs w:val="24"/>
      <w:lang w:eastAsia="en-GB"/>
    </w:rPr>
  </w:style>
  <w:style w:type="paragraph" w:customStyle="1" w:styleId="font5">
    <w:name w:val="font5"/>
    <w:basedOn w:val="Normal"/>
    <w:rsid w:val="00035316"/>
    <w:pPr>
      <w:spacing w:before="100" w:beforeAutospacing="1" w:after="100" w:afterAutospacing="1"/>
    </w:pPr>
    <w:rPr>
      <w:rFonts w:eastAsia="Times New Roman" w:cs="Times New Roman"/>
      <w:sz w:val="20"/>
      <w:szCs w:val="20"/>
      <w:lang w:eastAsia="en-GB"/>
    </w:rPr>
  </w:style>
  <w:style w:type="paragraph" w:customStyle="1" w:styleId="font6">
    <w:name w:val="font6"/>
    <w:basedOn w:val="Normal"/>
    <w:rsid w:val="00035316"/>
    <w:pPr>
      <w:spacing w:before="100" w:beforeAutospacing="1" w:after="100" w:afterAutospacing="1"/>
    </w:pPr>
    <w:rPr>
      <w:rFonts w:eastAsia="Times New Roman" w:cs="Times New Roman"/>
      <w:sz w:val="20"/>
      <w:szCs w:val="20"/>
      <w:lang w:eastAsia="en-GB"/>
    </w:rPr>
  </w:style>
  <w:style w:type="paragraph" w:customStyle="1" w:styleId="font7">
    <w:name w:val="font7"/>
    <w:basedOn w:val="Normal"/>
    <w:rsid w:val="00035316"/>
    <w:pPr>
      <w:spacing w:before="100" w:beforeAutospacing="1" w:after="100" w:afterAutospacing="1"/>
    </w:pPr>
    <w:rPr>
      <w:rFonts w:eastAsia="Times New Roman" w:cs="Times New Roman"/>
      <w:sz w:val="20"/>
      <w:szCs w:val="20"/>
      <w:lang w:eastAsia="en-GB"/>
    </w:rPr>
  </w:style>
  <w:style w:type="paragraph" w:customStyle="1" w:styleId="xl63">
    <w:name w:val="xl63"/>
    <w:basedOn w:val="Normal"/>
    <w:rsid w:val="00035316"/>
    <w:pPr>
      <w:spacing w:before="100" w:beforeAutospacing="1" w:after="100" w:afterAutospacing="1"/>
    </w:pPr>
    <w:rPr>
      <w:rFonts w:ascii="Arial" w:eastAsia="Times New Roman" w:hAnsi="Arial"/>
      <w:szCs w:val="24"/>
      <w:lang w:eastAsia="en-GB"/>
    </w:rPr>
  </w:style>
  <w:style w:type="paragraph" w:customStyle="1" w:styleId="xl64">
    <w:name w:val="xl64"/>
    <w:basedOn w:val="Normal"/>
    <w:rsid w:val="000353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szCs w:val="24"/>
      <w:lang w:eastAsia="en-GB"/>
    </w:rPr>
  </w:style>
  <w:style w:type="paragraph" w:customStyle="1" w:styleId="xl65">
    <w:name w:val="xl65"/>
    <w:basedOn w:val="Normal"/>
    <w:rsid w:val="000353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66">
    <w:name w:val="xl66"/>
    <w:basedOn w:val="Normal"/>
    <w:rsid w:val="000353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67">
    <w:name w:val="xl67"/>
    <w:basedOn w:val="Normal"/>
    <w:rsid w:val="000353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68">
    <w:name w:val="xl68"/>
    <w:basedOn w:val="Normal"/>
    <w:rsid w:val="000353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xl69">
    <w:name w:val="xl69"/>
    <w:basedOn w:val="Normal"/>
    <w:rsid w:val="0003531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0">
    <w:name w:val="xl70"/>
    <w:basedOn w:val="Normal"/>
    <w:rsid w:val="00035316"/>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Times New Roman" w:cs="Times New Roman"/>
      <w:szCs w:val="24"/>
      <w:lang w:eastAsia="en-GB"/>
    </w:rPr>
  </w:style>
  <w:style w:type="paragraph" w:customStyle="1" w:styleId="xl71">
    <w:name w:val="xl71"/>
    <w:basedOn w:val="Normal"/>
    <w:rsid w:val="00035316"/>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Times New Roman" w:cs="Times New Roman"/>
      <w:szCs w:val="24"/>
      <w:lang w:eastAsia="en-GB"/>
    </w:rPr>
  </w:style>
  <w:style w:type="paragraph" w:customStyle="1" w:styleId="xl72">
    <w:name w:val="xl72"/>
    <w:basedOn w:val="Normal"/>
    <w:rsid w:val="0003531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3">
    <w:name w:val="xl73"/>
    <w:basedOn w:val="Normal"/>
    <w:rsid w:val="00035316"/>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szCs w:val="24"/>
      <w:lang w:eastAsia="en-GB"/>
    </w:rPr>
  </w:style>
  <w:style w:type="paragraph" w:customStyle="1" w:styleId="xl74">
    <w:name w:val="xl74"/>
    <w:basedOn w:val="Normal"/>
    <w:rsid w:val="00035316"/>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5">
    <w:name w:val="xl75"/>
    <w:basedOn w:val="Normal"/>
    <w:rsid w:val="0003531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6">
    <w:name w:val="xl76"/>
    <w:basedOn w:val="Normal"/>
    <w:rsid w:val="00035316"/>
    <w:pPr>
      <w:pBdr>
        <w:left w:val="single" w:sz="4" w:space="0" w:color="auto"/>
        <w:bottom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7">
    <w:name w:val="xl77"/>
    <w:basedOn w:val="Normal"/>
    <w:rsid w:val="0003531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78">
    <w:name w:val="xl78"/>
    <w:basedOn w:val="Normal"/>
    <w:rsid w:val="00035316"/>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szCs w:val="24"/>
      <w:lang w:eastAsia="en-GB"/>
    </w:rPr>
  </w:style>
  <w:style w:type="paragraph" w:customStyle="1" w:styleId="xl79">
    <w:name w:val="xl79"/>
    <w:basedOn w:val="Normal"/>
    <w:rsid w:val="00035316"/>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xl80">
    <w:name w:val="xl80"/>
    <w:basedOn w:val="Normal"/>
    <w:rsid w:val="00035316"/>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xl81">
    <w:name w:val="xl81"/>
    <w:basedOn w:val="Normal"/>
    <w:rsid w:val="00035316"/>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xl82">
    <w:name w:val="xl82"/>
    <w:basedOn w:val="Normal"/>
    <w:rsid w:val="00035316"/>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xl83">
    <w:name w:val="xl83"/>
    <w:basedOn w:val="Normal"/>
    <w:rsid w:val="00035316"/>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cs="Times New Roman"/>
      <w:szCs w:val="24"/>
      <w:lang w:eastAsia="en-GB"/>
    </w:rPr>
  </w:style>
  <w:style w:type="paragraph" w:customStyle="1" w:styleId="xl84">
    <w:name w:val="xl84"/>
    <w:basedOn w:val="Normal"/>
    <w:rsid w:val="00035316"/>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cs="Times New Roman"/>
      <w:color w:val="000000"/>
      <w:szCs w:val="24"/>
      <w:lang w:eastAsia="en-GB"/>
    </w:rPr>
  </w:style>
  <w:style w:type="paragraph" w:customStyle="1" w:styleId="Tablecaptions">
    <w:name w:val="Table captions"/>
    <w:basedOn w:val="CM1"/>
    <w:link w:val="TablecaptionsChar"/>
    <w:qFormat/>
    <w:rsid w:val="00C6751B"/>
    <w:pPr>
      <w:spacing w:before="300" w:after="100"/>
    </w:pPr>
    <w:rPr>
      <w:i/>
      <w:sz w:val="20"/>
      <w:szCs w:val="20"/>
    </w:rPr>
  </w:style>
  <w:style w:type="character" w:customStyle="1" w:styleId="TablecaptionsChar">
    <w:name w:val="Table captions Char"/>
    <w:link w:val="Tablecaptions"/>
    <w:rsid w:val="00C6751B"/>
    <w:rPr>
      <w:rFonts w:ascii="Times New Roman" w:eastAsia="Calibri" w:hAnsi="Times New Roman" w:cs="Times New Roman"/>
      <w:i/>
      <w:color w:val="000000"/>
      <w:sz w:val="20"/>
      <w:szCs w:val="20"/>
      <w:lang w:eastAsia="en-GB"/>
    </w:rPr>
  </w:style>
  <w:style w:type="paragraph" w:styleId="TOCHeading">
    <w:name w:val="TOC Heading"/>
    <w:basedOn w:val="Heading1"/>
    <w:next w:val="Normal"/>
    <w:uiPriority w:val="39"/>
    <w:unhideWhenUsed/>
    <w:qFormat/>
    <w:rsid w:val="009C2674"/>
    <w:pPr>
      <w:keepLines/>
      <w:spacing w:before="240" w:after="0" w:line="259" w:lineRule="auto"/>
      <w:ind w:left="0" w:firstLine="0"/>
      <w:outlineLvl w:val="9"/>
    </w:pPr>
    <w:rPr>
      <w:rFonts w:ascii="Cambria" w:eastAsia="Cambria" w:hAnsi="Cambria"/>
      <w:b w:val="0"/>
      <w:bCs w:val="0"/>
      <w:caps w:val="0"/>
      <w:color w:val="365F91"/>
      <w:kern w:val="0"/>
      <w:sz w:val="32"/>
      <w:lang w:val="en-US"/>
    </w:rPr>
  </w:style>
  <w:style w:type="paragraph" w:styleId="TOC1">
    <w:name w:val="toc 1"/>
    <w:basedOn w:val="Normal"/>
    <w:next w:val="Normal"/>
    <w:autoRedefine/>
    <w:uiPriority w:val="39"/>
    <w:unhideWhenUsed/>
    <w:rsid w:val="009C2674"/>
    <w:pPr>
      <w:spacing w:after="100"/>
    </w:pPr>
  </w:style>
  <w:style w:type="paragraph" w:styleId="TOC2">
    <w:name w:val="toc 2"/>
    <w:basedOn w:val="Normal"/>
    <w:next w:val="Normal"/>
    <w:autoRedefine/>
    <w:uiPriority w:val="39"/>
    <w:unhideWhenUsed/>
    <w:rsid w:val="00680CE1"/>
    <w:pPr>
      <w:tabs>
        <w:tab w:val="right" w:leader="dot" w:pos="9345"/>
      </w:tabs>
      <w:ind w:left="238"/>
    </w:pPr>
  </w:style>
  <w:style w:type="paragraph" w:styleId="TOC3">
    <w:name w:val="toc 3"/>
    <w:basedOn w:val="Normal"/>
    <w:next w:val="Normal"/>
    <w:autoRedefine/>
    <w:uiPriority w:val="39"/>
    <w:unhideWhenUsed/>
    <w:rsid w:val="00237083"/>
    <w:pPr>
      <w:tabs>
        <w:tab w:val="right" w:leader="dot" w:pos="9345"/>
      </w:tabs>
      <w:ind w:left="482"/>
    </w:pPr>
  </w:style>
  <w:style w:type="paragraph" w:styleId="TOC4">
    <w:name w:val="toc 4"/>
    <w:basedOn w:val="Normal"/>
    <w:next w:val="Normal"/>
    <w:autoRedefine/>
    <w:uiPriority w:val="39"/>
    <w:unhideWhenUsed/>
    <w:rsid w:val="00DA227F"/>
    <w:pPr>
      <w:spacing w:after="100"/>
      <w:ind w:left="720"/>
    </w:pPr>
  </w:style>
  <w:style w:type="paragraph" w:styleId="TOC5">
    <w:name w:val="toc 5"/>
    <w:basedOn w:val="Normal"/>
    <w:next w:val="Normal"/>
    <w:autoRedefine/>
    <w:uiPriority w:val="39"/>
    <w:unhideWhenUsed/>
    <w:rsid w:val="00DA227F"/>
    <w:pPr>
      <w:spacing w:after="100"/>
      <w:ind w:left="960"/>
    </w:pPr>
  </w:style>
  <w:style w:type="paragraph" w:styleId="NormalWeb">
    <w:name w:val="Normal (Web)"/>
    <w:basedOn w:val="Normal"/>
    <w:uiPriority w:val="99"/>
    <w:semiHidden/>
    <w:unhideWhenUsed/>
    <w:rsid w:val="00A9618D"/>
    <w:pPr>
      <w:spacing w:before="100" w:beforeAutospacing="1" w:after="100" w:afterAutospacing="1"/>
    </w:pPr>
    <w:rPr>
      <w:rFonts w:eastAsia="Times New Roman" w:cs="Times New Roman"/>
      <w:szCs w:val="24"/>
      <w:lang w:eastAsia="en-GB"/>
    </w:rPr>
  </w:style>
  <w:style w:type="paragraph" w:styleId="TOC6">
    <w:name w:val="toc 6"/>
    <w:basedOn w:val="Normal"/>
    <w:next w:val="Normal"/>
    <w:autoRedefine/>
    <w:uiPriority w:val="39"/>
    <w:unhideWhenUsed/>
    <w:rsid w:val="00237083"/>
    <w:pPr>
      <w:tabs>
        <w:tab w:val="right" w:leader="dot" w:pos="9345"/>
      </w:tabs>
      <w:ind w:left="1202"/>
    </w:pPr>
  </w:style>
  <w:style w:type="character" w:customStyle="1" w:styleId="tlid-translation">
    <w:name w:val="tlid-translation"/>
    <w:rsid w:val="008E28C5"/>
  </w:style>
  <w:style w:type="character" w:styleId="FollowedHyperlink">
    <w:name w:val="FollowedHyperlink"/>
    <w:basedOn w:val="DefaultParagraphFont"/>
    <w:uiPriority w:val="99"/>
    <w:semiHidden/>
    <w:unhideWhenUsed/>
    <w:rsid w:val="00323BD2"/>
    <w:rPr>
      <w:color w:val="954F72" w:themeColor="followedHyperlink"/>
      <w:u w:val="single"/>
    </w:rPr>
  </w:style>
  <w:style w:type="character" w:customStyle="1" w:styleId="personname">
    <w:name w:val="person_name"/>
    <w:basedOn w:val="DefaultParagraphFont"/>
    <w:rsid w:val="0016295F"/>
  </w:style>
  <w:style w:type="character" w:styleId="Emphasis">
    <w:name w:val="Emphasis"/>
    <w:basedOn w:val="DefaultParagraphFont"/>
    <w:uiPriority w:val="20"/>
    <w:qFormat/>
    <w:rsid w:val="0016295F"/>
    <w:rPr>
      <w:i/>
      <w:iCs/>
    </w:rPr>
  </w:style>
  <w:style w:type="character" w:customStyle="1" w:styleId="author-style">
    <w:name w:val="author-style"/>
    <w:basedOn w:val="DefaultParagraphFont"/>
    <w:rsid w:val="0016295F"/>
  </w:style>
  <w:style w:type="paragraph" w:styleId="NoSpacing">
    <w:name w:val="No Spacing"/>
    <w:uiPriority w:val="1"/>
    <w:qFormat/>
    <w:rsid w:val="008B4150"/>
    <w:rPr>
      <w:rFonts w:cs="Times New Roman"/>
      <w:sz w:val="22"/>
      <w:szCs w:val="22"/>
      <w:lang w:val="en-US" w:eastAsia="en-US"/>
    </w:rPr>
  </w:style>
  <w:style w:type="character" w:customStyle="1" w:styleId="highwire-cite-metadata-doi">
    <w:name w:val="highwire-cite-metadata-doi"/>
    <w:basedOn w:val="DefaultParagraphFont"/>
    <w:rsid w:val="008B4150"/>
  </w:style>
  <w:style w:type="paragraph" w:styleId="Revision">
    <w:name w:val="Revision"/>
    <w:hidden/>
    <w:uiPriority w:val="99"/>
    <w:semiHidden/>
    <w:rsid w:val="00157381"/>
    <w:rPr>
      <w:rFonts w:ascii="Times New Roman" w:hAnsi="Times New Roman"/>
      <w:sz w:val="24"/>
      <w:szCs w:val="22"/>
      <w:lang w:eastAsia="en-US"/>
    </w:rPr>
  </w:style>
  <w:style w:type="character" w:styleId="UnresolvedMention">
    <w:name w:val="Unresolved Mention"/>
    <w:basedOn w:val="DefaultParagraphFont"/>
    <w:uiPriority w:val="99"/>
    <w:semiHidden/>
    <w:unhideWhenUsed/>
    <w:rsid w:val="009B33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5246248">
      <w:bodyDiv w:val="1"/>
      <w:marLeft w:val="0"/>
      <w:marRight w:val="0"/>
      <w:marTop w:val="0"/>
      <w:marBottom w:val="0"/>
      <w:divBdr>
        <w:top w:val="none" w:sz="0" w:space="0" w:color="auto"/>
        <w:left w:val="none" w:sz="0" w:space="0" w:color="auto"/>
        <w:bottom w:val="none" w:sz="0" w:space="0" w:color="auto"/>
        <w:right w:val="none" w:sz="0" w:space="0" w:color="auto"/>
      </w:divBdr>
    </w:div>
    <w:div w:id="921108653">
      <w:bodyDiv w:val="1"/>
      <w:marLeft w:val="0"/>
      <w:marRight w:val="0"/>
      <w:marTop w:val="0"/>
      <w:marBottom w:val="0"/>
      <w:divBdr>
        <w:top w:val="none" w:sz="0" w:space="0" w:color="auto"/>
        <w:left w:val="none" w:sz="0" w:space="0" w:color="auto"/>
        <w:bottom w:val="none" w:sz="0" w:space="0" w:color="auto"/>
        <w:right w:val="none" w:sz="0" w:space="0" w:color="auto"/>
      </w:divBdr>
    </w:div>
    <w:div w:id="1972440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hyperlink" Target="https://doi.org/10.1046/j.1365-2389.1999.00253.x" TargetMode="External"/><Relationship Id="rId47" Type="http://schemas.openxmlformats.org/officeDocument/2006/relationships/hyperlink" Target="https://onlinelibrary.wiley.com/action/doSearch?ContribAuthorStored=Ander%2C+E+L" TargetMode="External"/><Relationship Id="rId63" Type="http://schemas.openxmlformats.org/officeDocument/2006/relationships/hyperlink" Target="https://doi.org/10.1111/ejss.12743" TargetMode="External"/><Relationship Id="rId68" Type="http://schemas.openxmlformats.org/officeDocument/2006/relationships/hyperlink" Target="https://doi.org/10.1016/j.scitotenv.2011.11.019" TargetMode="External"/><Relationship Id="rId16" Type="http://schemas.openxmlformats.org/officeDocument/2006/relationships/image" Target="media/image6.png"/><Relationship Id="rId11" Type="http://schemas.openxmlformats.org/officeDocument/2006/relationships/hyperlink" Target="http://www.iugs.org/"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hyperlink" Target="https://doi.org/10.1039/b009590g" TargetMode="External"/><Relationship Id="rId45" Type="http://schemas.openxmlformats.org/officeDocument/2006/relationships/hyperlink" Target="https://onlinelibrary.wiley.com/action/doSearch?ContribAuthorStored=Young%2C+S+D" TargetMode="External"/><Relationship Id="rId53" Type="http://schemas.openxmlformats.org/officeDocument/2006/relationships/hyperlink" Target="https://doi.org/10.1111/sum.12343" TargetMode="External"/><Relationship Id="rId58" Type="http://schemas.openxmlformats.org/officeDocument/2006/relationships/hyperlink" Target="https://doi.org/10.1016/j.envpol.2013.05.034" TargetMode="External"/><Relationship Id="rId66" Type="http://schemas.openxmlformats.org/officeDocument/2006/relationships/hyperlink" Target="http://data.geology.gov.yk.ca/Reference/79430" TargetMode="External"/><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doi.org/10.1002/9780470670071" TargetMode="External"/><Relationship Id="rId19" Type="http://schemas.openxmlformats.org/officeDocument/2006/relationships/image" Target="media/image9.emf"/><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s://onlinelibrary.wiley.com/action/doSearch?ContribAuthorStored=Bowley%2C+H+E" TargetMode="External"/><Relationship Id="rId48" Type="http://schemas.openxmlformats.org/officeDocument/2006/relationships/hyperlink" Target="https://onlinelibrary.wiley.com/action/doSearch?ContribAuthorStored=Watts%2C+M+J" TargetMode="External"/><Relationship Id="rId56" Type="http://schemas.openxmlformats.org/officeDocument/2006/relationships/hyperlink" Target="http://globalgeochemicalbaselines.eu.176-31-41-129.hs-servers.gr/datafiles/file/Blue_Book_GGD_IGCP259.pdf" TargetMode="External"/><Relationship Id="rId64" Type="http://schemas.openxmlformats.org/officeDocument/2006/relationships/hyperlink" Target="http://dx.doi.org/10.3133/ds908" TargetMode="External"/><Relationship Id="rId69" Type="http://schemas.openxmlformats.org/officeDocument/2006/relationships/hyperlink" Target="https://doi.org/10.1111/j.1365-2745.2006.01145.x"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onlinelibrary.wiley.com/action/doSearch?ContribAuthorStored=Crout%2C+N+M+J" TargetMode="External"/><Relationship Id="rId72" Type="http://schemas.openxmlformats.org/officeDocument/2006/relationships/hyperlink" Target="https://doi.org/10.1016/j.acags.2021.100060" TargetMode="External"/><Relationship Id="rId3" Type="http://schemas.openxmlformats.org/officeDocument/2006/relationships/styles" Target="styles.xml"/><Relationship Id="rId12" Type="http://schemas.openxmlformats.org/officeDocument/2006/relationships/hyperlink" Target="http://www.globalgeochemicalbaselines.eu/"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yperlink" Target="http://www.globalgeochemicalbaselines.eu/content/91/publications-/" TargetMode="External"/><Relationship Id="rId46" Type="http://schemas.openxmlformats.org/officeDocument/2006/relationships/hyperlink" Target="https://onlinelibrary.wiley.com/action/doSearch?ContribAuthorStored=Macdonald%2C+A+J" TargetMode="External"/><Relationship Id="rId59" Type="http://schemas.openxmlformats.org/officeDocument/2006/relationships/hyperlink" Target="https://doi.org/10.1007/s00769-005-0043-2" TargetMode="External"/><Relationship Id="rId67" Type="http://schemas.openxmlformats.org/officeDocument/2006/relationships/hyperlink" Target="https://doi.org/10.1073/pnas.0803564105" TargetMode="External"/><Relationship Id="rId20" Type="http://schemas.openxmlformats.org/officeDocument/2006/relationships/image" Target="media/image10.emf"/><Relationship Id="rId41" Type="http://schemas.openxmlformats.org/officeDocument/2006/relationships/hyperlink" Target="https://doi.org/10.1144/geochem2018-061" TargetMode="External"/><Relationship Id="rId54" Type="http://schemas.openxmlformats.org/officeDocument/2006/relationships/hyperlink" Target="https://doi.org/10.1017/S0021859600066752" TargetMode="External"/><Relationship Id="rId62" Type="http://schemas.openxmlformats.org/officeDocument/2006/relationships/hyperlink" Target="https://doi.org/10.1016/B978-0-444-63763-5.00006-9" TargetMode="External"/><Relationship Id="rId70" Type="http://schemas.openxmlformats.org/officeDocument/2006/relationships/hyperlink" Target="https://doi.org/10.1016/j.gsf.2012.07.002" TargetMode="External"/><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tiff"/><Relationship Id="rId49" Type="http://schemas.openxmlformats.org/officeDocument/2006/relationships/hyperlink" Target="https://onlinelibrary.wiley.com/action/doSearch?ContribAuthorStored=Zhao%2C+F+J" TargetMode="External"/><Relationship Id="rId57" Type="http://schemas.openxmlformats.org/officeDocument/2006/relationships/hyperlink" Target="http://nora.nerc.ac.uk/id/eprint/524956/" TargetMode="External"/><Relationship Id="rId10" Type="http://schemas.openxmlformats.org/officeDocument/2006/relationships/image" Target="media/image2.gif"/><Relationship Id="rId31" Type="http://schemas.openxmlformats.org/officeDocument/2006/relationships/image" Target="media/image21.png"/><Relationship Id="rId44" Type="http://schemas.openxmlformats.org/officeDocument/2006/relationships/hyperlink" Target="https://onlinelibrary.wiley.com/action/doSearch?ContribAuthorStored=Mathers%2C+A+W" TargetMode="External"/><Relationship Id="rId52" Type="http://schemas.openxmlformats.org/officeDocument/2006/relationships/hyperlink" Target="https://onlinelibrary.wiley.com/action/doSearch?ContribAuthorStored=Bailey%2C+E+H" TargetMode="External"/><Relationship Id="rId60" Type="http://schemas.openxmlformats.org/officeDocument/2006/relationships/hyperlink" Target="https://doi.org/10.1144/1467-7873/05-070" TargetMode="External"/><Relationship Id="rId65" Type="http://schemas.openxmlformats.org/officeDocument/2006/relationships/hyperlink" Target="http://nora.nerc.ac.uk/id/eprint/11170/1/IR05150.pdf" TargetMode="External"/><Relationship Id="rId73" Type="http://schemas.openxmlformats.org/officeDocument/2006/relationships/hyperlink" Target="https://doi.org/10.1021/es980157f" TargetMode="External"/><Relationship Id="rId4" Type="http://schemas.openxmlformats.org/officeDocument/2006/relationships/settings" Target="settings.xml"/><Relationship Id="rId9" Type="http://schemas.openxmlformats.org/officeDocument/2006/relationships/hyperlink" Target="http://www.globalgeochemicalbaselines.eu/" TargetMode="Externa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hyperlink" Target="https://www.rsc.org/images/results-below-detection-limit-technical-brief-5_tcm18-214854.pdf" TargetMode="External"/><Relationship Id="rId34" Type="http://schemas.openxmlformats.org/officeDocument/2006/relationships/image" Target="media/image24.png"/><Relationship Id="rId50" Type="http://schemas.openxmlformats.org/officeDocument/2006/relationships/hyperlink" Target="https://onlinelibrary.wiley.com/action/doSearch?ContribAuthorStored=McGrath%2C+S+P" TargetMode="External"/><Relationship Id="rId55" Type="http://schemas.openxmlformats.org/officeDocument/2006/relationships/hyperlink" Target="https://doi.org/10.1016/S0375-6742(98)00015-6"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doi.org/10.1016/S0012-821X(02)00930-5" TargetMode="External"/><Relationship Id="rId2" Type="http://schemas.openxmlformats.org/officeDocument/2006/relationships/numbering" Target="numbering.xml"/><Relationship Id="rId29"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41952B-AC02-4A57-AD0B-C6102E110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9800</Words>
  <Characters>55865</Characters>
  <Application>Microsoft Office Word</Application>
  <DocSecurity>0</DocSecurity>
  <Lines>465</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65534</CharactersWithSpaces>
  <SharedDoc>false</SharedDoc>
  <HLinks>
    <vt:vector size="156" baseType="variant">
      <vt:variant>
        <vt:i4>7733365</vt:i4>
      </vt:variant>
      <vt:variant>
        <vt:i4>132</vt:i4>
      </vt:variant>
      <vt:variant>
        <vt:i4>0</vt:i4>
      </vt:variant>
      <vt:variant>
        <vt:i4>5</vt:i4>
      </vt:variant>
      <vt:variant>
        <vt:lpwstr>https://doi.org/10.1351/pac200678010145</vt:lpwstr>
      </vt:variant>
      <vt:variant>
        <vt:lpwstr/>
      </vt:variant>
      <vt:variant>
        <vt:i4>2424858</vt:i4>
      </vt:variant>
      <vt:variant>
        <vt:i4>129</vt:i4>
      </vt:variant>
      <vt:variant>
        <vt:i4>0</vt:i4>
      </vt:variant>
      <vt:variant>
        <vt:i4>5</vt:i4>
      </vt:variant>
      <vt:variant>
        <vt:lpwstr>https://www.eurachem.org/images/stories/Guides/pdf/UfS_2019_EN_P2.pdf</vt:lpwstr>
      </vt:variant>
      <vt:variant>
        <vt:lpwstr/>
      </vt:variant>
      <vt:variant>
        <vt:i4>1835039</vt:i4>
      </vt:variant>
      <vt:variant>
        <vt:i4>126</vt:i4>
      </vt:variant>
      <vt:variant>
        <vt:i4>0</vt:i4>
      </vt:variant>
      <vt:variant>
        <vt:i4>5</vt:i4>
      </vt:variant>
      <vt:variant>
        <vt:lpwstr>https://doi.org/10.1007/s007690050218</vt:lpwstr>
      </vt:variant>
      <vt:variant>
        <vt:lpwstr/>
      </vt:variant>
      <vt:variant>
        <vt:i4>1769498</vt:i4>
      </vt:variant>
      <vt:variant>
        <vt:i4>123</vt:i4>
      </vt:variant>
      <vt:variant>
        <vt:i4>0</vt:i4>
      </vt:variant>
      <vt:variant>
        <vt:i4>5</vt:i4>
      </vt:variant>
      <vt:variant>
        <vt:lpwstr>https://doi.org/10.1007/s007690000261</vt:lpwstr>
      </vt:variant>
      <vt:variant>
        <vt:lpwstr/>
      </vt:variant>
      <vt:variant>
        <vt:i4>5505032</vt:i4>
      </vt:variant>
      <vt:variant>
        <vt:i4>120</vt:i4>
      </vt:variant>
      <vt:variant>
        <vt:i4>0</vt:i4>
      </vt:variant>
      <vt:variant>
        <vt:i4>5</vt:i4>
      </vt:variant>
      <vt:variant>
        <vt:lpwstr>https://doi.org/10.1002/9780470670071.ch5</vt:lpwstr>
      </vt:variant>
      <vt:variant>
        <vt:lpwstr/>
      </vt:variant>
      <vt:variant>
        <vt:i4>2424858</vt:i4>
      </vt:variant>
      <vt:variant>
        <vt:i4>117</vt:i4>
      </vt:variant>
      <vt:variant>
        <vt:i4>0</vt:i4>
      </vt:variant>
      <vt:variant>
        <vt:i4>5</vt:i4>
      </vt:variant>
      <vt:variant>
        <vt:lpwstr>https://www.eurachem.org/images/stories/Guides/pdf/UfS_2019_EN_P2.pdf</vt:lpwstr>
      </vt:variant>
      <vt:variant>
        <vt:lpwstr/>
      </vt:variant>
      <vt:variant>
        <vt:i4>1769524</vt:i4>
      </vt:variant>
      <vt:variant>
        <vt:i4>110</vt:i4>
      </vt:variant>
      <vt:variant>
        <vt:i4>0</vt:i4>
      </vt:variant>
      <vt:variant>
        <vt:i4>5</vt:i4>
      </vt:variant>
      <vt:variant>
        <vt:lpwstr/>
      </vt:variant>
      <vt:variant>
        <vt:lpwstr>_Toc23265811</vt:lpwstr>
      </vt:variant>
      <vt:variant>
        <vt:i4>1703988</vt:i4>
      </vt:variant>
      <vt:variant>
        <vt:i4>104</vt:i4>
      </vt:variant>
      <vt:variant>
        <vt:i4>0</vt:i4>
      </vt:variant>
      <vt:variant>
        <vt:i4>5</vt:i4>
      </vt:variant>
      <vt:variant>
        <vt:lpwstr/>
      </vt:variant>
      <vt:variant>
        <vt:lpwstr>_Toc23265810</vt:lpwstr>
      </vt:variant>
      <vt:variant>
        <vt:i4>1245237</vt:i4>
      </vt:variant>
      <vt:variant>
        <vt:i4>98</vt:i4>
      </vt:variant>
      <vt:variant>
        <vt:i4>0</vt:i4>
      </vt:variant>
      <vt:variant>
        <vt:i4>5</vt:i4>
      </vt:variant>
      <vt:variant>
        <vt:lpwstr/>
      </vt:variant>
      <vt:variant>
        <vt:lpwstr>_Toc23265809</vt:lpwstr>
      </vt:variant>
      <vt:variant>
        <vt:i4>1179701</vt:i4>
      </vt:variant>
      <vt:variant>
        <vt:i4>92</vt:i4>
      </vt:variant>
      <vt:variant>
        <vt:i4>0</vt:i4>
      </vt:variant>
      <vt:variant>
        <vt:i4>5</vt:i4>
      </vt:variant>
      <vt:variant>
        <vt:lpwstr/>
      </vt:variant>
      <vt:variant>
        <vt:lpwstr>_Toc23265808</vt:lpwstr>
      </vt:variant>
      <vt:variant>
        <vt:i4>1900597</vt:i4>
      </vt:variant>
      <vt:variant>
        <vt:i4>86</vt:i4>
      </vt:variant>
      <vt:variant>
        <vt:i4>0</vt:i4>
      </vt:variant>
      <vt:variant>
        <vt:i4>5</vt:i4>
      </vt:variant>
      <vt:variant>
        <vt:lpwstr/>
      </vt:variant>
      <vt:variant>
        <vt:lpwstr>_Toc23265807</vt:lpwstr>
      </vt:variant>
      <vt:variant>
        <vt:i4>1835061</vt:i4>
      </vt:variant>
      <vt:variant>
        <vt:i4>80</vt:i4>
      </vt:variant>
      <vt:variant>
        <vt:i4>0</vt:i4>
      </vt:variant>
      <vt:variant>
        <vt:i4>5</vt:i4>
      </vt:variant>
      <vt:variant>
        <vt:lpwstr/>
      </vt:variant>
      <vt:variant>
        <vt:lpwstr>_Toc23265806</vt:lpwstr>
      </vt:variant>
      <vt:variant>
        <vt:i4>2031669</vt:i4>
      </vt:variant>
      <vt:variant>
        <vt:i4>74</vt:i4>
      </vt:variant>
      <vt:variant>
        <vt:i4>0</vt:i4>
      </vt:variant>
      <vt:variant>
        <vt:i4>5</vt:i4>
      </vt:variant>
      <vt:variant>
        <vt:lpwstr/>
      </vt:variant>
      <vt:variant>
        <vt:lpwstr>_Toc23265805</vt:lpwstr>
      </vt:variant>
      <vt:variant>
        <vt:i4>1966133</vt:i4>
      </vt:variant>
      <vt:variant>
        <vt:i4>68</vt:i4>
      </vt:variant>
      <vt:variant>
        <vt:i4>0</vt:i4>
      </vt:variant>
      <vt:variant>
        <vt:i4>5</vt:i4>
      </vt:variant>
      <vt:variant>
        <vt:lpwstr/>
      </vt:variant>
      <vt:variant>
        <vt:lpwstr>_Toc23265804</vt:lpwstr>
      </vt:variant>
      <vt:variant>
        <vt:i4>1638453</vt:i4>
      </vt:variant>
      <vt:variant>
        <vt:i4>62</vt:i4>
      </vt:variant>
      <vt:variant>
        <vt:i4>0</vt:i4>
      </vt:variant>
      <vt:variant>
        <vt:i4>5</vt:i4>
      </vt:variant>
      <vt:variant>
        <vt:lpwstr/>
      </vt:variant>
      <vt:variant>
        <vt:lpwstr>_Toc23265803</vt:lpwstr>
      </vt:variant>
      <vt:variant>
        <vt:i4>1572917</vt:i4>
      </vt:variant>
      <vt:variant>
        <vt:i4>56</vt:i4>
      </vt:variant>
      <vt:variant>
        <vt:i4>0</vt:i4>
      </vt:variant>
      <vt:variant>
        <vt:i4>5</vt:i4>
      </vt:variant>
      <vt:variant>
        <vt:lpwstr/>
      </vt:variant>
      <vt:variant>
        <vt:lpwstr>_Toc23265802</vt:lpwstr>
      </vt:variant>
      <vt:variant>
        <vt:i4>1769525</vt:i4>
      </vt:variant>
      <vt:variant>
        <vt:i4>50</vt:i4>
      </vt:variant>
      <vt:variant>
        <vt:i4>0</vt:i4>
      </vt:variant>
      <vt:variant>
        <vt:i4>5</vt:i4>
      </vt:variant>
      <vt:variant>
        <vt:lpwstr/>
      </vt:variant>
      <vt:variant>
        <vt:lpwstr>_Toc23265801</vt:lpwstr>
      </vt:variant>
      <vt:variant>
        <vt:i4>1703989</vt:i4>
      </vt:variant>
      <vt:variant>
        <vt:i4>44</vt:i4>
      </vt:variant>
      <vt:variant>
        <vt:i4>0</vt:i4>
      </vt:variant>
      <vt:variant>
        <vt:i4>5</vt:i4>
      </vt:variant>
      <vt:variant>
        <vt:lpwstr/>
      </vt:variant>
      <vt:variant>
        <vt:lpwstr>_Toc23265800</vt:lpwstr>
      </vt:variant>
      <vt:variant>
        <vt:i4>1835068</vt:i4>
      </vt:variant>
      <vt:variant>
        <vt:i4>38</vt:i4>
      </vt:variant>
      <vt:variant>
        <vt:i4>0</vt:i4>
      </vt:variant>
      <vt:variant>
        <vt:i4>5</vt:i4>
      </vt:variant>
      <vt:variant>
        <vt:lpwstr/>
      </vt:variant>
      <vt:variant>
        <vt:lpwstr>_Toc23265799</vt:lpwstr>
      </vt:variant>
      <vt:variant>
        <vt:i4>1900604</vt:i4>
      </vt:variant>
      <vt:variant>
        <vt:i4>32</vt:i4>
      </vt:variant>
      <vt:variant>
        <vt:i4>0</vt:i4>
      </vt:variant>
      <vt:variant>
        <vt:i4>5</vt:i4>
      </vt:variant>
      <vt:variant>
        <vt:lpwstr/>
      </vt:variant>
      <vt:variant>
        <vt:lpwstr>_Toc23265798</vt:lpwstr>
      </vt:variant>
      <vt:variant>
        <vt:i4>1179708</vt:i4>
      </vt:variant>
      <vt:variant>
        <vt:i4>26</vt:i4>
      </vt:variant>
      <vt:variant>
        <vt:i4>0</vt:i4>
      </vt:variant>
      <vt:variant>
        <vt:i4>5</vt:i4>
      </vt:variant>
      <vt:variant>
        <vt:lpwstr/>
      </vt:variant>
      <vt:variant>
        <vt:lpwstr>_Toc23265797</vt:lpwstr>
      </vt:variant>
      <vt:variant>
        <vt:i4>1245244</vt:i4>
      </vt:variant>
      <vt:variant>
        <vt:i4>20</vt:i4>
      </vt:variant>
      <vt:variant>
        <vt:i4>0</vt:i4>
      </vt:variant>
      <vt:variant>
        <vt:i4>5</vt:i4>
      </vt:variant>
      <vt:variant>
        <vt:lpwstr/>
      </vt:variant>
      <vt:variant>
        <vt:lpwstr>_Toc23265796</vt:lpwstr>
      </vt:variant>
      <vt:variant>
        <vt:i4>1048636</vt:i4>
      </vt:variant>
      <vt:variant>
        <vt:i4>14</vt:i4>
      </vt:variant>
      <vt:variant>
        <vt:i4>0</vt:i4>
      </vt:variant>
      <vt:variant>
        <vt:i4>5</vt:i4>
      </vt:variant>
      <vt:variant>
        <vt:lpwstr/>
      </vt:variant>
      <vt:variant>
        <vt:lpwstr>_Toc23265795</vt:lpwstr>
      </vt:variant>
      <vt:variant>
        <vt:i4>1114172</vt:i4>
      </vt:variant>
      <vt:variant>
        <vt:i4>8</vt:i4>
      </vt:variant>
      <vt:variant>
        <vt:i4>0</vt:i4>
      </vt:variant>
      <vt:variant>
        <vt:i4>5</vt:i4>
      </vt:variant>
      <vt:variant>
        <vt:lpwstr/>
      </vt:variant>
      <vt:variant>
        <vt:lpwstr>_Toc23265794</vt:lpwstr>
      </vt:variant>
      <vt:variant>
        <vt:i4>1245276</vt:i4>
      </vt:variant>
      <vt:variant>
        <vt:i4>3</vt:i4>
      </vt:variant>
      <vt:variant>
        <vt:i4>0</vt:i4>
      </vt:variant>
      <vt:variant>
        <vt:i4>5</vt:i4>
      </vt:variant>
      <vt:variant>
        <vt:lpwstr>http://www.globalgeochemicalbaselines.eu/</vt:lpwstr>
      </vt:variant>
      <vt:variant>
        <vt:lpwstr/>
      </vt:variant>
      <vt:variant>
        <vt:i4>5636190</vt:i4>
      </vt:variant>
      <vt:variant>
        <vt:i4>0</vt:i4>
      </vt:variant>
      <vt:variant>
        <vt:i4>0</vt:i4>
      </vt:variant>
      <vt:variant>
        <vt:i4>5</vt:i4>
      </vt:variant>
      <vt:variant>
        <vt:lpwstr>http://www.iugs.org/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dc:description/>
  <cp:lastModifiedBy>Alecos Demetriades</cp:lastModifiedBy>
  <cp:revision>2</cp:revision>
  <cp:lastPrinted>2022-08-31T08:53:00Z</cp:lastPrinted>
  <dcterms:created xsi:type="dcterms:W3CDTF">2022-08-31T08:53:00Z</dcterms:created>
  <dcterms:modified xsi:type="dcterms:W3CDTF">2022-08-31T08:53:00Z</dcterms:modified>
</cp:coreProperties>
</file>